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widowControl w:val="0"/>
        <w:pBdr>
          <w:top w:val="nil"/>
          <w:left w:val="nil"/>
          <w:bottom w:val="nil"/>
          <w:right w:val="nil"/>
          <w:between w:val="nil"/>
        </w:pBdr>
        <w:spacing w:after="0" w:line="276" w:lineRule="auto"/>
        <w:rPr>
          <w:rFonts w:ascii="Arial" w:eastAsia="Arial" w:hAnsi="Arial" w:cs="Arial"/>
        </w:rPr>
      </w:pPr>
    </w:p>
    <w:tbl>
      <w:tblPr>
        <w:tblStyle w:val="a1"/>
        <w:tblW w:w="15210" w:type="dxa"/>
        <w:tblInd w:w="-318" w:type="dxa"/>
        <w:tblLayout w:type="fixed"/>
        <w:tblLook w:val="0400" w:firstRow="0" w:lastRow="0" w:firstColumn="0" w:lastColumn="0" w:noHBand="0" w:noVBand="1"/>
      </w:tblPr>
      <w:tblGrid>
        <w:gridCol w:w="6565"/>
        <w:gridCol w:w="8645"/>
      </w:tblGrid>
      <w:tr>
        <w:trPr>
          <w:trHeight w:val="767"/>
        </w:trPr>
        <w:tc>
          <w:tcPr>
            <w:tcW w:w="6565" w:type="dxa"/>
          </w:tcPr>
          <w:p>
            <w:pPr>
              <w:widowControl w:val="0"/>
              <w:shd w:val="clear" w:color="auto" w:fill="FFFFFF"/>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BỘ KHOA HỌC VÀ CÔNG NGHỆ</w:t>
            </w:r>
          </w:p>
          <w:p>
            <w:pPr>
              <w:widowControl w:val="0"/>
              <w:shd w:val="clear" w:color="auto" w:fill="FFFFFF"/>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CỤC SỞ HỮU TRÍ TUỆ</w:t>
            </w:r>
            <w:r>
              <w:rPr>
                <w:rFonts w:ascii="Times New Roman" w:eastAsia="Times New Roman" w:hAnsi="Times New Roman" w:cs="Times New Roman"/>
                <w:b/>
                <w:bCs/>
                <w:sz w:val="28"/>
                <w:szCs w:val="28"/>
              </w:rPr>
              <w:br/>
            </w:r>
            <w:r>
              <w:rPr>
                <w:noProof/>
                <w:lang w:val="en-US"/>
              </w:rPr>
              <mc:AlternateContent>
                <mc:Choice Requires="wps">
                  <w:drawing>
                    <wp:anchor distT="0" distB="0" distL="114300" distR="114300" simplePos="0" relativeHeight="251658240" behindDoc="0" locked="0" layoutInCell="1" hidden="0" allowOverlap="1">
                      <wp:simplePos x="0" y="0"/>
                      <wp:positionH relativeFrom="column">
                        <wp:posOffset>2085339</wp:posOffset>
                      </wp:positionH>
                      <wp:positionV relativeFrom="paragraph">
                        <wp:posOffset>271796</wp:posOffset>
                      </wp:positionV>
                      <wp:extent cx="0" cy="12700"/>
                      <wp:effectExtent l="0" t="0" r="0" b="0"/>
                      <wp:wrapNone/>
                      <wp:docPr id="2058246298" name="Straight Arrow Connector 2058246298"/>
                      <wp:cNvGraphicFramePr/>
                      <a:graphic xmlns:a="http://schemas.openxmlformats.org/drawingml/2006/main">
                        <a:graphicData uri="http://schemas.microsoft.com/office/word/2010/wordprocessingShape">
                          <wps:wsp>
                            <wps:cNvCnPr/>
                            <wps:spPr>
                              <a:xfrm>
                                <a:off x="4811655" y="3780000"/>
                                <a:ext cx="1068691" cy="0"/>
                              </a:xfrm>
                              <a:prstGeom prst="straightConnector1">
                                <a:avLst/>
                              </a:prstGeom>
                              <a:noFill/>
                              <a:ln w="9525" cap="flat" cmpd="sng">
                                <a:solidFill>
                                  <a:schemeClr val="dk1"/>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2085339</wp:posOffset>
                      </wp:positionH>
                      <wp:positionV relativeFrom="paragraph">
                        <wp:posOffset>271796</wp:posOffset>
                      </wp:positionV>
                      <wp:extent cx="0" cy="12700"/>
                      <wp:effectExtent b="0" l="0" r="0" t="0"/>
                      <wp:wrapNone/>
                      <wp:docPr id="2058246298"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59264" behindDoc="0" locked="0" layoutInCell="1" hidden="0" allowOverlap="1">
                      <wp:simplePos x="0" y="0"/>
                      <wp:positionH relativeFrom="column">
                        <wp:posOffset>1266825</wp:posOffset>
                      </wp:positionH>
                      <wp:positionV relativeFrom="paragraph">
                        <wp:posOffset>276225</wp:posOffset>
                      </wp:positionV>
                      <wp:extent cx="0" cy="12700"/>
                      <wp:effectExtent l="0" t="0" r="0" b="0"/>
                      <wp:wrapNone/>
                      <wp:docPr id="2058246302" name="Straight Arrow Connector 2058246302"/>
                      <wp:cNvGraphicFramePr/>
                      <a:graphic xmlns:a="http://schemas.openxmlformats.org/drawingml/2006/main">
                        <a:graphicData uri="http://schemas.microsoft.com/office/word/2010/wordprocessingShape">
                          <wps:wsp>
                            <wps:cNvCnPr/>
                            <wps:spPr>
                              <a:xfrm>
                                <a:off x="4523040" y="3780000"/>
                                <a:ext cx="1645920" cy="0"/>
                              </a:xfrm>
                              <a:prstGeom prst="straightConnector1">
                                <a:avLst/>
                              </a:prstGeom>
                              <a:noFill/>
                              <a:ln w="12700" cap="flat" cmpd="sng">
                                <a:solidFill>
                                  <a:schemeClr val="dk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1266825</wp:posOffset>
                      </wp:positionH>
                      <wp:positionV relativeFrom="paragraph">
                        <wp:posOffset>276225</wp:posOffset>
                      </wp:positionV>
                      <wp:extent cx="0" cy="12700"/>
                      <wp:effectExtent b="0" l="0" r="0" t="0"/>
                      <wp:wrapNone/>
                      <wp:docPr id="2058246302"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8645" w:type="dxa"/>
          </w:tcPr>
          <w:p>
            <w:pPr>
              <w:widowControl w:val="0"/>
              <w:shd w:val="clear" w:color="auto" w:fill="FFFFFF"/>
              <w:spacing w:after="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CỘNG HÒA XÃ HỘI CHỦ NGHĨA VIỆT NAM</w:t>
            </w:r>
            <w:r>
              <w:rPr>
                <w:rFonts w:ascii="Times New Roman" w:eastAsia="Times New Roman" w:hAnsi="Times New Roman" w:cs="Times New Roman"/>
                <w:b/>
                <w:bCs/>
                <w:sz w:val="28"/>
                <w:szCs w:val="28"/>
              </w:rPr>
              <w:br/>
              <w:t xml:space="preserve">Độc lập - Tự do - Hạnh phúc </w:t>
            </w:r>
            <w:r>
              <w:rPr>
                <w:noProof/>
                <w:lang w:val="en-US"/>
              </w:rPr>
              <mc:AlternateContent>
                <mc:Choice Requires="wps">
                  <w:drawing>
                    <wp:anchor distT="0" distB="0" distL="114300" distR="114300" simplePos="0" relativeHeight="251660288" behindDoc="0" locked="0" layoutInCell="1" hidden="0" allowOverlap="1">
                      <wp:simplePos x="0" y="0"/>
                      <wp:positionH relativeFrom="column">
                        <wp:posOffset>2504440</wp:posOffset>
                      </wp:positionH>
                      <wp:positionV relativeFrom="paragraph">
                        <wp:posOffset>476250</wp:posOffset>
                      </wp:positionV>
                      <wp:extent cx="0" cy="12700"/>
                      <wp:effectExtent l="0" t="0" r="0" b="0"/>
                      <wp:wrapNone/>
                      <wp:docPr id="2058246299" name="Straight Arrow Connector 2058246299"/>
                      <wp:cNvGraphicFramePr/>
                      <a:graphic xmlns:a="http://schemas.openxmlformats.org/drawingml/2006/main">
                        <a:graphicData uri="http://schemas.microsoft.com/office/word/2010/wordprocessingShape">
                          <wps:wsp>
                            <wps:cNvCnPr/>
                            <wps:spPr>
                              <a:xfrm>
                                <a:off x="4465956" y="3780000"/>
                                <a:ext cx="1760088" cy="0"/>
                              </a:xfrm>
                              <a:prstGeom prst="straightConnector1">
                                <a:avLst/>
                              </a:prstGeom>
                              <a:noFill/>
                              <a:ln w="9525" cap="flat" cmpd="sng">
                                <a:solidFill>
                                  <a:schemeClr val="dk1"/>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2504440</wp:posOffset>
                      </wp:positionH>
                      <wp:positionV relativeFrom="paragraph">
                        <wp:posOffset>476250</wp:posOffset>
                      </wp:positionV>
                      <wp:extent cx="0" cy="12700"/>
                      <wp:effectExtent b="0" l="0" r="0" t="0"/>
                      <wp:wrapNone/>
                      <wp:docPr id="2058246299"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61312" behindDoc="0" locked="0" layoutInCell="1" hidden="0" allowOverlap="1">
                      <wp:simplePos x="0" y="0"/>
                      <wp:positionH relativeFrom="column">
                        <wp:posOffset>1714500</wp:posOffset>
                      </wp:positionH>
                      <wp:positionV relativeFrom="paragraph">
                        <wp:posOffset>485775</wp:posOffset>
                      </wp:positionV>
                      <wp:extent cx="0" cy="12700"/>
                      <wp:effectExtent l="0" t="0" r="0" b="0"/>
                      <wp:wrapNone/>
                      <wp:docPr id="2058246300" name="Straight Arrow Connector 2058246300"/>
                      <wp:cNvGraphicFramePr/>
                      <a:graphic xmlns:a="http://schemas.openxmlformats.org/drawingml/2006/main">
                        <a:graphicData uri="http://schemas.microsoft.com/office/word/2010/wordprocessingShape">
                          <wps:wsp>
                            <wps:cNvCnPr/>
                            <wps:spPr>
                              <a:xfrm>
                                <a:off x="4366830" y="3780000"/>
                                <a:ext cx="1958340" cy="0"/>
                              </a:xfrm>
                              <a:prstGeom prst="straightConnector1">
                                <a:avLst/>
                              </a:prstGeom>
                              <a:noFill/>
                              <a:ln w="12700" cap="flat" cmpd="sng">
                                <a:solidFill>
                                  <a:schemeClr val="dk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1714500</wp:posOffset>
                      </wp:positionH>
                      <wp:positionV relativeFrom="paragraph">
                        <wp:posOffset>485775</wp:posOffset>
                      </wp:positionV>
                      <wp:extent cx="0" cy="12700"/>
                      <wp:effectExtent b="0" l="0" r="0" t="0"/>
                      <wp:wrapNone/>
                      <wp:docPr id="2058246300"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tc>
          <w:tcPr>
            <w:tcW w:w="6565" w:type="dxa"/>
          </w:tcPr>
          <w:p>
            <w:pPr>
              <w:widowControl w:val="0"/>
              <w:shd w:val="clear" w:color="auto" w:fill="FFFFFF"/>
              <w:spacing w:before="120" w:after="0"/>
              <w:jc w:val="center"/>
              <w:rPr>
                <w:rFonts w:ascii="Times New Roman" w:eastAsia="Times New Roman" w:hAnsi="Times New Roman" w:cs="Times New Roman"/>
                <w:sz w:val="28"/>
                <w:szCs w:val="28"/>
              </w:rPr>
            </w:pPr>
          </w:p>
        </w:tc>
        <w:tc>
          <w:tcPr>
            <w:tcW w:w="8645" w:type="dxa"/>
          </w:tcPr>
          <w:p>
            <w:pPr>
              <w:widowControl w:val="0"/>
              <w:shd w:val="clear" w:color="auto" w:fill="FFFFFF"/>
              <w:spacing w:before="120" w:after="0"/>
              <w:jc w:val="center"/>
              <w:rPr>
                <w:rFonts w:ascii="Times New Roman" w:eastAsia="Times New Roman" w:hAnsi="Times New Roman" w:cs="Times New Roman"/>
                <w:sz w:val="28"/>
                <w:szCs w:val="28"/>
              </w:rPr>
            </w:pPr>
            <w:r>
              <w:rPr>
                <w:rFonts w:ascii="Times New Roman" w:eastAsia="Times New Roman" w:hAnsi="Times New Roman" w:cs="Times New Roman"/>
                <w:i/>
                <w:iCs/>
                <w:sz w:val="28"/>
                <w:szCs w:val="28"/>
              </w:rPr>
              <w:t>Hà Nội, ngày       tháng     năm 2026</w:t>
            </w:r>
          </w:p>
        </w:tc>
      </w:tr>
    </w:tbl>
    <w:p>
      <w:pPr>
        <w:shd w:val="clear" w:color="auto" w:fill="FFFFFF"/>
        <w:spacing w:before="120" w:after="0"/>
        <w:jc w:val="center"/>
        <w:rPr>
          <w:rFonts w:ascii="Times New Roman" w:eastAsia="Times New Roman" w:hAnsi="Times New Roman" w:cs="Times New Roman"/>
          <w:sz w:val="28"/>
          <w:szCs w:val="28"/>
        </w:rPr>
      </w:pPr>
    </w:p>
    <w:p>
      <w:pPr>
        <w:shd w:val="clear" w:color="auto" w:fill="FFFFFF"/>
        <w:spacing w:after="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Bản tổng hợp, tiếp thu, giải trình ý kiến góp ý, phản biện xã hội đối với dự thảo </w:t>
      </w:r>
    </w:p>
    <w:p>
      <w:pPr>
        <w:shd w:val="clear" w:color="auto" w:fill="FFFFFF"/>
        <w:spacing w:after="0"/>
        <w:jc w:val="center"/>
        <w:rPr>
          <w:rFonts w:ascii="Times New Roman" w:eastAsia="Times New Roman" w:hAnsi="Times New Roman" w:cs="Times New Roman"/>
          <w:sz w:val="28"/>
          <w:szCs w:val="28"/>
        </w:rPr>
      </w:pPr>
      <w:bookmarkStart w:id="0" w:name="_heading=h.4jna0ujpgdq" w:colFirst="0" w:colLast="0"/>
      <w:bookmarkEnd w:id="0"/>
      <w:r>
        <w:rPr>
          <w:rFonts w:ascii="Times New Roman" w:eastAsia="Times New Roman" w:hAnsi="Times New Roman" w:cs="Times New Roman"/>
          <w:b/>
          <w:bCs/>
          <w:sz w:val="28"/>
          <w:szCs w:val="28"/>
        </w:rPr>
        <w:t>Luật sửa đổi, bổ sung một số điều của Luật Sở hữu trí tuệ</w:t>
      </w:r>
    </w:p>
    <w:p>
      <w:pPr>
        <w:shd w:val="clear" w:color="auto" w:fill="FFFFFF"/>
        <w:spacing w:after="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noProof/>
          <w:lang w:val="en-US"/>
        </w:rPr>
        <mc:AlternateContent>
          <mc:Choice Requires="wps">
            <w:drawing>
              <wp:anchor distT="0" distB="0" distL="114300" distR="114300" simplePos="0" relativeHeight="251662336" behindDoc="0" locked="0" layoutInCell="1" hidden="0" allowOverlap="1">
                <wp:simplePos x="0" y="0"/>
                <wp:positionH relativeFrom="column">
                  <wp:posOffset>3247720</wp:posOffset>
                </wp:positionH>
                <wp:positionV relativeFrom="paragraph">
                  <wp:posOffset>23495</wp:posOffset>
                </wp:positionV>
                <wp:extent cx="0" cy="12700"/>
                <wp:effectExtent l="0" t="0" r="0" b="0"/>
                <wp:wrapNone/>
                <wp:docPr id="2058246303" name="Straight Arrow Connector 2058246303"/>
                <wp:cNvGraphicFramePr/>
                <a:graphic xmlns:a="http://schemas.openxmlformats.org/drawingml/2006/main">
                  <a:graphicData uri="http://schemas.microsoft.com/office/word/2010/wordprocessingShape">
                    <wps:wsp>
                      <wps:cNvCnPr/>
                      <wps:spPr>
                        <a:xfrm>
                          <a:off x="4003471" y="3780000"/>
                          <a:ext cx="2685059" cy="0"/>
                        </a:xfrm>
                        <a:prstGeom prst="straightConnector1">
                          <a:avLst/>
                        </a:prstGeom>
                        <a:noFill/>
                        <a:ln w="9525" cap="flat" cmpd="sng">
                          <a:solidFill>
                            <a:schemeClr val="dk1"/>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3247720</wp:posOffset>
                </wp:positionH>
                <wp:positionV relativeFrom="paragraph">
                  <wp:posOffset>23495</wp:posOffset>
                </wp:positionV>
                <wp:extent cx="0" cy="12700"/>
                <wp:effectExtent b="0" l="0" r="0" t="0"/>
                <wp:wrapNone/>
                <wp:docPr id="2058246303"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63360" behindDoc="0" locked="0" layoutInCell="1" hidden="0" allowOverlap="1">
                <wp:simplePos x="0" y="0"/>
                <wp:positionH relativeFrom="column">
                  <wp:posOffset>2823210</wp:posOffset>
                </wp:positionH>
                <wp:positionV relativeFrom="paragraph">
                  <wp:posOffset>57150</wp:posOffset>
                </wp:positionV>
                <wp:extent cx="0" cy="12700"/>
                <wp:effectExtent l="0" t="0" r="0" b="0"/>
                <wp:wrapNone/>
                <wp:docPr id="2058246301" name="Straight Arrow Connector 2058246301"/>
                <wp:cNvGraphicFramePr/>
                <a:graphic xmlns:a="http://schemas.openxmlformats.org/drawingml/2006/main">
                  <a:graphicData uri="http://schemas.microsoft.com/office/word/2010/wordprocessingShape">
                    <wps:wsp>
                      <wps:cNvCnPr/>
                      <wps:spPr>
                        <a:xfrm>
                          <a:off x="3524820" y="3780000"/>
                          <a:ext cx="3642360" cy="0"/>
                        </a:xfrm>
                        <a:prstGeom prst="straightConnector1">
                          <a:avLst/>
                        </a:prstGeom>
                        <a:noFill/>
                        <a:ln w="12700" cap="flat" cmpd="sng">
                          <a:solidFill>
                            <a:schemeClr val="dk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2823210</wp:posOffset>
                </wp:positionH>
                <wp:positionV relativeFrom="paragraph">
                  <wp:posOffset>57150</wp:posOffset>
                </wp:positionV>
                <wp:extent cx="0" cy="12700"/>
                <wp:effectExtent b="0" l="0" r="0" t="0"/>
                <wp:wrapNone/>
                <wp:docPr id="2058246301"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pPr>
        <w:shd w:val="clear" w:color="auto" w:fill="FFFFFF"/>
        <w:spacing w:before="120" w:after="0"/>
        <w:rPr>
          <w:rFonts w:ascii="Times New Roman" w:eastAsia="Times New Roman" w:hAnsi="Times New Roman" w:cs="Times New Roman"/>
          <w:b/>
          <w:bCs/>
          <w:sz w:val="28"/>
          <w:szCs w:val="28"/>
        </w:rPr>
      </w:pPr>
    </w:p>
    <w:p>
      <w:pPr>
        <w:shd w:val="clear" w:color="auto" w:fill="FFFFFF"/>
        <w:spacing w:before="120" w:after="0"/>
        <w:ind w:left="284" w:right="394" w:firstLine="85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 Ý KIẾN CỦA BỘ, NGÀNH, CƠ QUAN, TỔ CHỨC ĐỐI VỚI DỰ THẢO LUẬT</w:t>
      </w:r>
    </w:p>
    <w:p>
      <w:pPr>
        <w:shd w:val="clear" w:color="auto" w:fill="FFFFFF"/>
        <w:spacing w:before="120" w:after="0"/>
        <w:ind w:left="284" w:right="394"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Căn cứ Luật Ban hành văn bản quy phạm pháp luật, cơ quan chủ trì soạn thảo đã tổ chức lấy ý kiến, tham vấn/phản biện xã hội đối với dự thảo Luật, theo đó:</w:t>
      </w:r>
    </w:p>
    <w:p>
      <w:pPr>
        <w:pBdr>
          <w:top w:val="nil"/>
          <w:left w:val="nil"/>
          <w:bottom w:val="nil"/>
          <w:right w:val="nil"/>
          <w:between w:val="nil"/>
        </w:pBdr>
        <w:shd w:val="clear" w:color="auto" w:fill="FFFFFF"/>
        <w:spacing w:before="120" w:after="0" w:line="240" w:lineRule="auto"/>
        <w:ind w:left="284" w:right="394"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Tổng số cơ quan, tổ chức, cá nhân đã gửi xin ý kiến, tham vấn/góp ý, phản biện xã hội và tổng số ý kiến nhận được:</w:t>
      </w:r>
    </w:p>
    <w:p>
      <w:pPr>
        <w:pBdr>
          <w:top w:val="nil"/>
          <w:left w:val="nil"/>
          <w:bottom w:val="nil"/>
          <w:right w:val="nil"/>
          <w:between w:val="nil"/>
        </w:pBdr>
        <w:shd w:val="clear" w:color="auto" w:fill="FFFFFF"/>
        <w:spacing w:before="120" w:after="0" w:line="240" w:lineRule="auto"/>
        <w:ind w:left="284" w:right="394"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Tổng số cơ quan, tổ chức, cá nhân đã gửi ý kiến, tham vấn/góp ý, phản biện xã hội:</w:t>
      </w:r>
      <w:r>
        <w:rPr>
          <w:rFonts w:ascii="Times New Roman" w:eastAsia="Times New Roman" w:hAnsi="Times New Roman" w:cs="Times New Roman"/>
          <w:b/>
          <w:bCs/>
          <w:sz w:val="28"/>
          <w:szCs w:val="28"/>
        </w:rPr>
        <w:t xml:space="preserve"> 56/149</w:t>
      </w:r>
      <w:r>
        <w:rPr>
          <w:rFonts w:ascii="Times New Roman" w:eastAsia="Times New Roman" w:hAnsi="Times New Roman" w:cs="Times New Roman"/>
          <w:sz w:val="28"/>
          <w:szCs w:val="28"/>
        </w:rPr>
        <w:t xml:space="preserve"> cơ quan, tổ chức;</w:t>
      </w:r>
    </w:p>
    <w:p>
      <w:pPr>
        <w:pBdr>
          <w:top w:val="nil"/>
          <w:left w:val="nil"/>
          <w:bottom w:val="nil"/>
          <w:right w:val="nil"/>
          <w:between w:val="nil"/>
        </w:pBdr>
        <w:shd w:val="clear" w:color="auto" w:fill="FFFFFF"/>
        <w:spacing w:before="120" w:after="0" w:line="240" w:lineRule="auto"/>
        <w:ind w:left="284" w:right="394"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Tổng số ý kiến nhận được: Bộ, cơ quan ngang Bộ:  </w:t>
      </w:r>
      <w:r>
        <w:rPr>
          <w:rFonts w:ascii="Times New Roman" w:eastAsia="Times New Roman" w:hAnsi="Times New Roman" w:cs="Times New Roman"/>
          <w:b/>
          <w:bCs/>
          <w:sz w:val="28"/>
          <w:szCs w:val="28"/>
        </w:rPr>
        <w:t xml:space="preserve">09/16 </w:t>
      </w:r>
      <w:r>
        <w:rPr>
          <w:rFonts w:ascii="Times New Roman" w:eastAsia="Times New Roman" w:hAnsi="Times New Roman" w:cs="Times New Roman"/>
          <w:sz w:val="28"/>
          <w:szCs w:val="28"/>
        </w:rPr>
        <w:t xml:space="preserve">(Bộ Nội vụ, Bộ Ngoại giao, Bộ Xây dựng, Thanh tra Chính phủ, Bộ Tư pháp, Bộ Tài chính, Bộ Dân tộc và Tôn giáo, Bộ Nông nghiệp và Môi trường, Bộ Quốc phòng); Đơn vị thuộc Bộ: </w:t>
      </w:r>
      <w:r>
        <w:rPr>
          <w:rFonts w:ascii="Times New Roman" w:eastAsia="Times New Roman" w:hAnsi="Times New Roman" w:cs="Times New Roman"/>
          <w:b/>
          <w:bCs/>
          <w:sz w:val="28"/>
          <w:szCs w:val="28"/>
        </w:rPr>
        <w:t xml:space="preserve">01 </w:t>
      </w:r>
      <w:r>
        <w:rPr>
          <w:rFonts w:ascii="Times New Roman" w:eastAsia="Times New Roman" w:hAnsi="Times New Roman" w:cs="Times New Roman"/>
          <w:sz w:val="28"/>
          <w:szCs w:val="28"/>
        </w:rPr>
        <w:t xml:space="preserve">(Chi cục Hải quan khu vực XIX (Cục Hải quan, Bộ Tài chính)); Cơ quan thuộc Ban Chấp hành Trung ương Đảng: </w:t>
      </w:r>
      <w:r>
        <w:rPr>
          <w:rFonts w:ascii="Times New Roman" w:eastAsia="Times New Roman" w:hAnsi="Times New Roman" w:cs="Times New Roman"/>
          <w:b/>
          <w:bCs/>
          <w:sz w:val="28"/>
          <w:szCs w:val="28"/>
        </w:rPr>
        <w:t>04/05</w:t>
      </w:r>
      <w:r>
        <w:rPr>
          <w:rFonts w:ascii="Times New Roman" w:eastAsia="Times New Roman" w:hAnsi="Times New Roman" w:cs="Times New Roman"/>
          <w:sz w:val="28"/>
          <w:szCs w:val="28"/>
        </w:rPr>
        <w:t xml:space="preserve"> (Viện Hàn lâm Khoa học và Công nghệ Việt Nam; Viện Hàn lâm Khoa học Xã hội Việt Nam; Đài Truyền hình Việt Nam; Thông tấn xã Việt Nam); Cơ quan Tư pháp: </w:t>
      </w:r>
      <w:r>
        <w:rPr>
          <w:rFonts w:ascii="Times New Roman" w:eastAsia="Times New Roman" w:hAnsi="Times New Roman" w:cs="Times New Roman"/>
          <w:b/>
          <w:bCs/>
          <w:sz w:val="28"/>
          <w:szCs w:val="28"/>
        </w:rPr>
        <w:t>0/02</w:t>
      </w:r>
      <w:r>
        <w:rPr>
          <w:rFonts w:ascii="Times New Roman" w:eastAsia="Times New Roman" w:hAnsi="Times New Roman" w:cs="Times New Roman"/>
          <w:sz w:val="28"/>
          <w:szCs w:val="28"/>
        </w:rPr>
        <w:t>; Ủy ban nhân dân (Sở Khoa học và Công nghệ, Sở Nông nghiệp và Môi trường):</w:t>
      </w:r>
      <w:r>
        <w:rPr>
          <w:rFonts w:ascii="Times New Roman" w:eastAsia="Times New Roman" w:hAnsi="Times New Roman" w:cs="Times New Roman"/>
          <w:b/>
          <w:bCs/>
          <w:sz w:val="28"/>
          <w:szCs w:val="28"/>
        </w:rPr>
        <w:t xml:space="preserve"> 31/34</w:t>
      </w:r>
      <w:r>
        <w:rPr>
          <w:rFonts w:ascii="Times New Roman" w:eastAsia="Times New Roman" w:hAnsi="Times New Roman" w:cs="Times New Roman"/>
          <w:sz w:val="28"/>
          <w:szCs w:val="28"/>
        </w:rPr>
        <w:t xml:space="preserve">; Trường, Viện, Hiệp hội/hội, doanh nghiệp, đại diện sở hữu công nghiệp: </w:t>
      </w:r>
      <w:r>
        <w:rPr>
          <w:rFonts w:ascii="Times New Roman" w:eastAsia="Times New Roman" w:hAnsi="Times New Roman" w:cs="Times New Roman"/>
          <w:b/>
          <w:bCs/>
          <w:sz w:val="28"/>
          <w:szCs w:val="28"/>
        </w:rPr>
        <w:t>11/92</w:t>
      </w:r>
      <w:r>
        <w:rPr>
          <w:rFonts w:ascii="Times New Roman" w:eastAsia="Times New Roman" w:hAnsi="Times New Roman" w:cs="Times New Roman"/>
          <w:sz w:val="28"/>
          <w:szCs w:val="28"/>
        </w:rPr>
        <w:t xml:space="preserve"> ý kiến.</w:t>
      </w:r>
    </w:p>
    <w:p>
      <w:pPr>
        <w:shd w:val="clear" w:color="auto" w:fill="FFFFFF"/>
        <w:spacing w:before="120" w:after="0"/>
        <w:ind w:left="284" w:right="394" w:firstLine="85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II. NỘI DUNG Ý KIẾN VÀ TIẾP THU, GIẢI TRÌNH</w:t>
      </w:r>
    </w:p>
    <w:p>
      <w:pPr>
        <w:shd w:val="clear" w:color="auto" w:fill="FFFFFF"/>
        <w:spacing w:before="120" w:after="0"/>
        <w:ind w:left="284" w:right="394" w:firstLine="850"/>
        <w:rPr>
          <w:rFonts w:ascii="Times New Roman" w:eastAsia="Times New Roman" w:hAnsi="Times New Roman" w:cs="Times New Roman"/>
          <w:sz w:val="28"/>
          <w:szCs w:val="28"/>
        </w:rPr>
      </w:pPr>
      <w:r>
        <w:rPr>
          <w:rFonts w:ascii="Times New Roman" w:eastAsia="Times New Roman" w:hAnsi="Times New Roman" w:cs="Times New Roman"/>
          <w:sz w:val="28"/>
          <w:szCs w:val="28"/>
        </w:rPr>
        <w:t>Nội dung ý kiến góp ý/tham vấn/phản biện và nội dung tiếp thu/giải trình, thuyết minh chi tiết trong bảng dưới đây:</w:t>
      </w:r>
    </w:p>
    <w:tbl>
      <w:tblPr>
        <w:tblStyle w:val="a2"/>
        <w:tblW w:w="15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1701"/>
        <w:gridCol w:w="5954"/>
        <w:gridCol w:w="4253"/>
      </w:tblGrid>
      <w:tr>
        <w:trPr>
          <w:tblHeader/>
        </w:trPr>
        <w:tc>
          <w:tcPr>
            <w:tcW w:w="3114" w:type="dxa"/>
            <w:vAlign w:val="center"/>
          </w:tcPr>
          <w:p>
            <w:pPr>
              <w:shd w:val="clear" w:color="auto" w:fill="FFFFFF"/>
              <w:spacing w:before="40" w:after="40" w:line="240" w:lineRule="auto"/>
              <w:ind w:right="43"/>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NHÓM VẤN ĐỀ, ĐIỀU, KHOẢN</w:t>
            </w:r>
          </w:p>
        </w:tc>
        <w:tc>
          <w:tcPr>
            <w:tcW w:w="1701" w:type="dxa"/>
            <w:vAlign w:val="center"/>
          </w:tcPr>
          <w:p>
            <w:pPr>
              <w:shd w:val="clear" w:color="auto" w:fill="FFFFFF"/>
              <w:spacing w:before="40" w:after="4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0"/>
                <w:szCs w:val="20"/>
              </w:rPr>
              <w:t>CHỦ THỂ GÓP Ý/THAM VẤN/ PHẢN BIỆN</w:t>
            </w:r>
          </w:p>
        </w:tc>
        <w:tc>
          <w:tcPr>
            <w:tcW w:w="5954" w:type="dxa"/>
            <w:vAlign w:val="center"/>
          </w:tcPr>
          <w:p>
            <w:pPr>
              <w:shd w:val="clear" w:color="auto" w:fill="FFFFFF"/>
              <w:spacing w:before="40" w:after="40" w:line="240" w:lineRule="auto"/>
              <w:ind w:right="114"/>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NỘI DUNG GÓP Ý/ THAM VẤN/ PHẢN BIỆN</w:t>
            </w:r>
          </w:p>
        </w:tc>
        <w:tc>
          <w:tcPr>
            <w:tcW w:w="4253" w:type="dxa"/>
            <w:vAlign w:val="center"/>
          </w:tcPr>
          <w:p>
            <w:pPr>
              <w:shd w:val="clear" w:color="auto" w:fill="FFFFFF"/>
              <w:spacing w:before="40" w:after="40" w:line="240" w:lineRule="auto"/>
              <w:ind w:right="142"/>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NỘI DUNG TIẾP THU/GIẢI TRÌNH, THUYẾT MINH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Các ý kiến chung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rPr>
          <w:trHeight w:val="2528"/>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Đắk Lắk, Sở KHCN Điện Biên, Sở KHCN Đồng Tháp, Sở KHCN Thái Nguyên, Sở KHCN Phú Thọ, Sở KHCN Ninh Bình, Sở KHCN Hưng Yên, Chi cục Hải quan khu vực XIX, Đài truyền hình Việt Nam, Cục Khoa học quân sự, Tập đoàn Viễn thông – Quân đội, Sở NNMT TP Cần Thơ, Sở NNMT Ninh Bình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Nhất trí với nội dung dự thảo</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I. Ý kiến về dự thảo Tờ trình </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Thanh tra Chính phủ</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Công văn số 5970/BKHCN-SHTT ngày 10/8/2026, Bộ Khoa học và Công nghệ xác định một trong những căn cứ quan trọng để đề xuất xây dựng dự án Luật sửa đổi, bổ sung một số điều của Luật Sở hữu trí tuệ là Nghị quyết số 199/NQ-CP ngày 24/7/2026 của Chính phủ về việc bổ sung dự án Luật vào Chương trình xây dựng luật, pháp lệnh; đồng thời, ngày 30/7/2026, Chính phủ đã có Tờ trình số 466/TTr-CP trình Ủy ban Thường vụ Quốc hội về việc đề nghị xây dựng dự án Luật theo trình tự, thủ tục rút gọn.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các nội dung nêu trên chưa được thể hiện tại mục “Cơ sở chính trị, cơ sở pháp lý” thuộc phần I về sự cần thiết ban hành văn bản của dự thảo Tờ trình. Đây là những căn cứ trực tiếp thể hiện chủ trương, quyết định của Chính phủ về việc đưa dự án Luật vào Chương trình xây dựng luật, pháp lệnh và tiến độ, trình tự xây dựng dự án Luật, có ý nghĩa làm rõ cơ sở chính trị, pháp lý và sự cần thiết của việc xây dựng, trình dự án Luật tại thời điểm hiện nay.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cơ quan chủ trì soạn thảo rà soát, bổ sung Nghị quyết số 199/NQ-CP ngày 24/7/2026 của Chính phủ và Tờ trình số 466/TTr-CP ngày 30/7/2026 của Chính phủ vào mục “Cơ sở chính trị, cơ sở pháp lý” của dự thảo Tờ trình, đồng thời bảo đảm sự thống nhất giữa nội dung dự thảo Tờ trình với các tài liệu đã được Chính phủ ban hành trong quá trình đề xuất, quyết định xây dựng dự án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tại dự thảo Tờ trình Chính phủ.</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bãi bỏ khoản 1 Điều 148 và khoản 2 Điều 150, đồng thời bổ sung khoản 3 Điều 138 theo hướng việc chuyển nhượng quyền sở hữu công nghiệp có hiệu lực khi thay đổi chủ sở hữu được ghi nhận vào văn bằng theo thủ tục Điều 97. Tờ trình xác nhận mục tiêu là bãi bỏ thủ tục đăng ký hợp đồng chuyển nhượng và chuyển sang cơ chế sửa đổi văn bằng bảo hộ.</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Bản so sánh còn giải thích rõ hơn: hợp đồng là giao dịch dân sự; cơ quan quản lý nhà nước vẫn kiểm tra hình thức hợp đồng và các điều kiện hạn chế chuyển nhượng, sau đó ghi nhận chủ sở hữu mới, và việc ghi nhận này làm phát sinh hiệu lực của việc chuyển dịch quyền.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Vì vậy, về bản chất, Dự thảo không bãi bỏ cơ chế ghi nhận chuyển quyền. Nó đang làm hai việc khác:</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Bãi bỏ quy tắc cho rằng hợp đồng chuyển nhượng chỉ có hiệu lực khi được đăng ký;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Duy trì việc ghi nhận thay đổi chủ sở hữu như điều kiện để quyền sở hữu thực sự chuyển sang bên nhận.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Đây là một thay đổi có ý nghĩa, nhưng không nên mô tả như việc xóa bỏ hoàn toàn thủ tục đăng ký chuyển nhượng. Chính xác hơn, đây là việc:</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tách hiệu lực của hợp đồng khỏi hiệu lực chuyển quyền và hợp nhất thủ tục đăng ký hợp đồng vào thủ tục ghi nhận thay đổi chủ sở hữu.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chúng tôi, Ban soạn thảo nên làm rõ điều này trong Tờ trình và Bản thuyết minh để tránh cách hiểu rằng nghĩa vụ đăng ký đã bị bãi bỏ trong khi thực tế vẫn còn.</w:t>
            </w:r>
          </w:p>
        </w:tc>
        <w:tc>
          <w:tcPr>
            <w:tcW w:w="4253" w:type="dxa"/>
          </w:tcPr>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(bổ sung làm rõ hiệu lực của hợp đồng chuyển nhượng tại Điều 138) và xin cung cấp thông tin như sau:</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Điểm B.VI Phụ lục I.3 của Nghị quyết 66.18/2026/NQ-CP quy định về việc bãi bỏ thủ tục đăng ký HĐ chuyển nhượng quyền sở hữu. Và điểm B.III.2 Phụ lục I.3 của Nghị quyết 66.18/2026/NQ-CP quy định bổ sung việc sửa đổi văn bằng bảo hộ do chuyển dịch quyền do chuyển nhượng quyền sở hữu.</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Trên cơ sở đó, dự thảo Luật sửa đổi tương ứng Điều 97, 138, 148 để thế chế quy định tại Nghị quyết 66.18/2026/NQ-CP, theo đó:</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Điều 97 chỉ quy định về việc sửa đổi VBBH, trong đó bổ sung trường hợp sửa đổi thông tin về chủ VBBH hoặc danh mục hàng hóa, dịch vụ trong trường hợp do chuyển nhượng quyền SHCN;</w:t>
            </w:r>
            <w:r>
              <w:rPr>
                <w:rFonts w:ascii="Times New Roman" w:eastAsia="Times New Roman" w:hAnsi="Times New Roman" w:cs="Times New Roman"/>
                <w:sz w:val="24"/>
                <w:szCs w:val="24"/>
              </w:rPr>
              <w:br/>
              <w:t xml:space="preserve"> - Điều 138, khoản 3: bổ sung quy định làm rõ hiệu lực của việc chuyển nhượng khi thông tin sửa đổi VBBH do chuyển nhượng được ghi nhận;</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Điều 138, khoản 2: sửa đổi làm rõ hiệu lực hợp đồng chuyển nhượng theo thỏa thuận của các bên (không còn quy định đăng ký ghi nhận chuyển nhượng),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thống nhất nội dung về thời hạn công bố đơn đăng ký bảo hộ tại Điều 177.</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mục 3.1 phần IV dự thảo Tờ trình xác định việc sửa đổi khoản 1 Điều 177 theo hướng cắt giảm thời hạn công bố đơn đăng ký bảo hộ xuống còn 30 ngày; tuy nhiên, phần chú thích ngay sau nội dung này vẫn nêu thời hạn công bố là 90 ngày kể từ ngày đơn được chấp nhận. Trong khi đó, khoản 1 Điều 177 tại dự thảo Luật quy định thời hạn công bố là 30 ngày kể từ ngày đơn được coi là hợp lệ.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chỉnh lý để bảo đảm thống nhất giữa nội dung Tờ trình, phần chú thích và dự thảo Luật.</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chỉnh lý để thống nhất nội dung Tờ trình và dự thảo Luật.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 Sở KHCN Cà Mau, Sở KHCN Cao Bằng, Sở KHCN Quảng Ninh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rà soát, chỉnh lý một số lỗi kỹ thuật, chính tả trong dự thảo Tờ trình, cụ thể: tại trang 7 và trang 10, cụm từ “giống cấy trồng”; tại trang 9, cụm từ “Bộ trưởng Bộ trưởng Bộ Khoa học và Công nghệ và Môi trường”, “từ chói”; tại trang 10, cụm từ “Bổ sung quy tại Điều 97”, “bãi bãi bỏ”. </w:t>
            </w:r>
          </w:p>
        </w:tc>
        <w:tc>
          <w:tcPr>
            <w:tcW w:w="4253" w:type="dxa"/>
          </w:tcPr>
          <w:p>
            <w:pPr>
              <w:shd w:val="clear" w:color="auto" w:fill="FFFFFF"/>
              <w:spacing w:before="40" w:after="40" w:line="240" w:lineRule="auto"/>
              <w:ind w:right="142"/>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Cơ quan chủ trì soạn thảo xin tiếp thu và chỉnh lý dự thảo Tờ trình.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chú thích số 2 tại trang 8 về thời hạn công bố đơn đăng ký bảo hộ để bảo đảm thống nhất với khoản 1 Điều 177 dự thảo Luật.</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chỉnh lý dự thảo Tờ trình.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Cao Bằng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chỉnh sửa thể thức, kỹ thuật trình bày văn bản quy phạm pháp luật: Chức vụ người có thẩm quyền ký văn bản được trình bày cỡ chữ 13 theo quy định tại điểm b khoản 7 phần II của Mục 1 thể thức, kỹ thuật trình bày văn bản quy phạm pháp luật của Phụ lục I Nghị định số 187/2025/NĐ-CP.</w:t>
            </w:r>
          </w:p>
        </w:tc>
        <w:tc>
          <w:tcPr>
            <w:tcW w:w="4253" w:type="dxa"/>
          </w:tcPr>
          <w:p>
            <w:pPr>
              <w:shd w:val="clear" w:color="auto" w:fill="FFFFFF"/>
              <w:spacing w:before="40" w:after="40" w:line="240" w:lineRule="auto"/>
              <w:ind w:right="142"/>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Cơ quan chủ trì soạn thảo xin tiếp thu và chỉnh lý dự thảo Tờ trình.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Cà Mau</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điều chỉnh lại phần chú thích (1) tại dự thảo Tờ trình, thời hạn công bố quyết định liên quan đến Bằng bảo hộ giống cây trồng tại Điều 173 của Luật hiện hành là 60 ngày, kể từ ngày ra quyết định.</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chỉnh lý dự thảo Tờ trình.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Mục VI dự thảo Tờ trình Chính phủ, đề nghị Quý Bộ bổ sung nhiệm vụ sau khi Luật được ban hành, cơ quan chủ trì phối hợp với Bộ Ngoại giao và các cơ  quan liên quan thực hiện đầy đủ thủ tục thông báo, cung cấp văn bản pháp luật theo các điều ước quốc tế có liên quan, trong đó có thông báo cho Hội đồng về các khía cạnh liên quan đến thương mại của quyền sở hữu trí tuệ (Hội đồng TRIPS) theo Điều 63.2 Hiệp định TRIPS; chuyển các quy định mới về sở hữu công nghiệp, quyền tác giả và quyền liên quan cho Văn phòng quốc tế Tổ chức sở hữu trí tuệ thế giới (WIPO) theo Điều 15(2) Công ước Paris về bảo hộ sở hữu công nghiệp và Điều 24(2) Công ước Berne về bảo hộ tác phẩm văn học và nghệ thuật; thông báo cho Tổng Thư ký UPOV về sửa đổi pháp luật bảo hộ giống cây trồng theo Điều 36(2) Công ước UPOV và cập nhật thông tin cơ quan được giao nhiệm vụ cấp quyền.</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vào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Thanh tra Chính phủ</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Tại trang 3 dự thảo Tờ trình, cơ quan chủ trì soạn thảo cho rằng việc phân công quản lý nhà nước về quyền đối với giống cây trồng hiện nay </w:t>
            </w:r>
            <w:r>
              <w:rPr>
                <w:rFonts w:ascii="Times New Roman" w:eastAsia="Times New Roman" w:hAnsi="Times New Roman" w:cs="Times New Roman"/>
                <w:b/>
                <w:bCs/>
                <w:i/>
                <w:iCs/>
                <w:sz w:val="24"/>
                <w:szCs w:val="24"/>
                <w:u w:val="single"/>
              </w:rPr>
              <w:t>“về cơ bản phù hợp với điều kiện lịch sử tại thời điểm ban hành Luật”</w:t>
            </w:r>
            <w:r>
              <w:rPr>
                <w:rFonts w:ascii="Times New Roman" w:eastAsia="Times New Roman" w:hAnsi="Times New Roman" w:cs="Times New Roman"/>
                <w:sz w:val="24"/>
                <w:szCs w:val="24"/>
              </w:rPr>
              <w:t>, nhưng trong bối cảnh phát triển mới, mô hình quản lý phân tán đối với các đối tượng sở hữu trí tuệ đã bộc lộ một số hạn chế, bất cập. Tuy nhiên, dự thảo Tờ trình chưa làm rõ những hạn chế, bất cập cụ thể của mô hình hiện hành, nguyên nhân của những hạn chế, bất cập này và việc chuyển thẩm quyền quản lý về Bộ Khoa học và Công nghệ có khắc phục được các hạn chế, bất cập đó hay không. Đây là những nội dung có ý nghĩa trực tiếp đối với việc đánh giá sự cần thiết và tính hợp lý của đề xuất chính sách. Do đó, đề nghị cơ quan chủ trì soạn thảo bổ sung, làm rõ các nội dung nêu trên trong dự thảo Tờ trình.</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Thanh tra Chính phủ</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Tờ trình xác định quyền đối với giống cây trồng là một đối tượng của quyền sở hữu trí tuệ và có nhiều đặc điểm tương đồng với quyền sở hữu công nghiệp, từ đó đề xuất thống nhất đầu mối quản lý. Tuy nhiên, giống cây trồng là đối tượng sinh học có tính đặc thù, việc xác lập quyền không chỉ dựa trên hồ sơ, tài liệu mà còn gắn với việc kiểm chứng vật liệu giống và đánh giá các đặc tính về tính khác biệt, tính đồng nhất, tính ổn định trong điều kiện khảo nghiệm thực tế. Quá trình này đòi hỏi chuyên môn, cơ sở vật chất và hệ thống dữ liệu chuyên ngành về giống cây trồng, đồng thời có mối liên hệ chặt chẽ với quản lý nhà nước về trồng trọt, sản xuất và lưu hành giống.</w:t>
            </w:r>
          </w:p>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cơ quan chủ trì soạn thảo làm rõ cơ sở thực tiễn và phương án tổ chức thực hiện đối với các yêu cầu chuyên môn nêu trên khi chuyển thẩm quyền quản lý về Bộ Khoa học và Công nghệ, bảo đảm việc thay đổi đầu mối quản lý không làm ảnh hưởng đến hiệu quả bảo hộ quyền, quản lý và phát triển giống cây trồng trong thực tiễn.</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soạn thảo xin tiếp thu và làm rõ tại Mục VI của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dự thảo Tờ trình, cơ quan chủ trì soạn thảo nêu dự thảo Luật bãi bỏ các thủ tục liên quan đến giám định sở hữu công nghiệp, giám định quyền đối với giống cây trồng (khoản 18 Điều 1); sửa đổi, bổ sung thủ tục sửa đổi văn bằng bảo hộ bao gồm thay đổi thông tin chủ văn bằng bảo hộ do chuyển nhượng quyền (khoản 2 Điều 1),... Đề nghị cơ quan chủ trì soạn thảo báo cáo rõ số lượng, danh sách thủ tục hành chính, điều kiện kinh doanh được cắt giảm, đơn giản hóa tại dự thảo Luật; so sánh kết quả cắt giảm, đơn giản hóa thủ tục hành chính, điều kiện kinh doanh tại dự thảo Luật với Nghị quyết 66.17/2026/NQ-CP và Nghị quyết số 66.18/2026/NQ-CP về phân quyền, cắt giảm, đơn giản hóa thủ tục hành chính, điều kiện kinh doanh (như: Điều 97, Điều 138, Điều 148, Điều 150, Điều 201…) để đảm bảo tỷ lệ đã báo cáo với các cấp có thẩm quyền; trường hợp có phương án khác với các nghị quyết nêu trên giải trình rõ cơ sở, lý do…</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làm rõ tại mục 4.4 Phần IV của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Vĩnh Long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Các nội dung đơn giản hóa thủ tục hành chính và cắt giảm điều kiện kinh doanh, đề nghị bảo đảm các quy định sau khi sửa đổi thực sự tạo thuận lợi cho tổ chức, cá nhân, doanh nghiệp, cơ sở giáo dục đại học, tổ chức khoa học và công nghệ trong quá trình đăng ký, xác lập, khai thác và bảo vệ quyền sở hữu trí tuệ.</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cung cấp thông tin như sau: nội dung này đã được nêu rõ tại mục 3.1 và 4.4 của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điều chỉnh lập luận về sự tương đồng giữa quyền đối với giống cây trồng và sáng chế, do hai loại quyền này có một số điểm tương đồng về cơ chế xác lập và quản lý quyền nhưng có tính đặc thù riêng về chuyên môn, kỹ thuật.</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mục đích và quan điểm xây dựng Luật, đề nghị bổ sung nguyên tắc bảo đảm tính liên tục khi chuyển cơ quan quản lý không làm ảnh hưởng đến ngày nộp đơn, ngày ưu tiên, kết quả thẩm định, kết quả khảo nghiệm DUS, Bằng bảo hộ và các quyền, nghĩa vụ đã phát sinh. Không yêu cầu tổ chức, cá nhân nộp lại hồ sơ hoặc phí, lệ phí chỉ do thay đổi cơ quan có thẩm quyền.</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phương án tổ chức thực hiện sau chuyển giao, Tờ trình hiện chủ yếu nhấn mạnh hạ tầng số, cơ sở dữ liệu và kinh nghiệm quản lý sở hữu công nghiệp của Bộ Khoa học và Công nghệ nhưng chưa đánh giá đầy đủ về tính khả thi. Đề nghị bổ sung cơ chế phối hợp giữa hai Bộ, phương án tiếp nhận, bố trí hoặc sử dụng đội ngũ chuyên gia, cơ sở dữ liệu và hệ thống khảo nghiệm kỹ thuật hiện có của Bộ Nông nghiệp và Môi trường.</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sửa nội dung tại mục 4.5 đang xác định </w:t>
            </w:r>
            <w:r>
              <w:rPr>
                <w:rFonts w:ascii="Times New Roman" w:eastAsia="Times New Roman" w:hAnsi="Times New Roman" w:cs="Times New Roman"/>
                <w:b/>
                <w:bCs/>
                <w:i/>
                <w:iCs/>
                <w:sz w:val="24"/>
                <w:szCs w:val="24"/>
                <w:u w:val="single"/>
              </w:rPr>
              <w:t>“Dự thảo Luật không có nội dung liên quan đến phân cấp, phân quyền”</w:t>
            </w:r>
            <w:r>
              <w:rPr>
                <w:rFonts w:ascii="Times New Roman" w:eastAsia="Times New Roman" w:hAnsi="Times New Roman" w:cs="Times New Roman"/>
                <w:sz w:val="24"/>
                <w:szCs w:val="24"/>
              </w:rPr>
              <w:t>. Có thể xác định dự thảo không có nội dung phân cấp, phân quyền giữa Trung ương và địa phương, nhưng có nội dung điều chỉnh phân công trách nhiệm quản lý nhà nước giữa Bộ Khoa học và Công nghệ và Bộ Nông nghiệp và Môi trường đối với quyền đối với giống cây trồng.</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after="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Mục IV.4.5 khẳng định không có nội dung phân cấp phân quyền bởi lý do: theo Điều 11  về bản chất Chính phủ thống nhất quản lý nhà nước về SHTT, trong đó chức năng quản lý nhà nước được phân định cho các Bộ, ngành cũng như trách nhiệm phối hợp - là quy định sẵn có từ Luật SHTT 2005; dự thảo chỉ kế thừa và chuyển trách nhiệm quản lý nhà nước về giống cây trồng của Bộ NN&amp;MT sang cho Bộ KH&amp;CN; cơ quan soạn thảo cho rằng đây không phải là phân quyền mới theo quy định của Luật Tổ chức Chính phủ.</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sửa mục 4.6 đang xác định </w:t>
            </w:r>
            <w:r>
              <w:rPr>
                <w:rFonts w:ascii="Times New Roman" w:eastAsia="Times New Roman" w:hAnsi="Times New Roman" w:cs="Times New Roman"/>
                <w:b/>
                <w:bCs/>
                <w:i/>
                <w:iCs/>
                <w:sz w:val="24"/>
                <w:szCs w:val="24"/>
                <w:u w:val="single"/>
              </w:rPr>
              <w:t xml:space="preserve">“Dự thảo Luật không có nội dung cần xin ý kiến cấp có thẩm quyền”, </w:t>
            </w:r>
            <w:r>
              <w:rPr>
                <w:rFonts w:ascii="Times New Roman" w:eastAsia="Times New Roman" w:hAnsi="Times New Roman" w:cs="Times New Roman"/>
                <w:sz w:val="24"/>
                <w:szCs w:val="24"/>
              </w:rPr>
              <w:t>trong khi dự thảo vẫn còn phương án 1, phương án 2 tại Điều 176 và Điều 201. Cơ quan soạn thảo cần lựa chọn dứt điểm phương án. Trường hợp còn ý kiến khác nhau thì phải nêu rõ các phương án, ưu điểm, hạn chế và phương án kiến nghị Chính phủ xem xét.</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cung cấp thông tin như sau: hiện nay dự thảo Luật không còn quy định có 02 PA, do đó xin giữ nguyên nội dung này tại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nguồn lực và điều kiện bảo đảm thi hành, đề nghị đánh giá cụ thể hơn việc chuyển giao hồ sơ, Bằng bảo hộ, kết quả DUS, mẫu giống, cơ sở dữ liệu, chứng chỉ hành nghề, hồ sơ khiếu nại, phí và lệ phí, nhân lực chuyên môn và các nhiệm vụ hợp tác quốc tế. Không nên chỉ nhận định chung rằng tác động của việc chuyển giao là ngắn hạn và có thể kiểm soát khi chưa có số liệu, phương án và trách nhiệm cụ thể.</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ind w:right="7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nội dung về chuyển tiếp khi Luật có hiệu lực, trong đó bảo lưu giá trị pháp lý của hồ sơ, ngày nộp đơn, ngày ưu tiên, kết quả thẩm định, kết quả DUS, Bằng bảo hộ, chứng chỉ hành nghề và các quyết định đã ban hành. Hồ sơ đang giải quyết được chuyển cho cơ quan mới tiếp tục xử lý, không yêu cầu nộp lại hồ sơ hoặc phí, lệ phí.</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II. Ý kiến về dự thảo Luật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1. Sửa đổi, bổ sung một số điều của Luật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Sửa đổi, bổ sung một số khoản của Điều 11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Bắc Ninh</w:t>
            </w:r>
          </w:p>
        </w:tc>
        <w:tc>
          <w:tcPr>
            <w:tcW w:w="5954" w:type="dxa"/>
          </w:tcPr>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thể hiện thống nhất trong toàn bộ hồ sơ việc chuyển trách nhiệm quản lý nhà nước về quyền đối với giống cây trồng từ Bộ Nông nghiệp và Môi trường sang Bộ Khoa học và Công nghệ. Đồng thời, cần bổ sung quy định chuyển tiếp hoặc giao Chính phủ quy định rõ việc bàn giao hồ sơ, cơ sở dữ liệu, kết quả khảo nghiệm và trách nhiệm phối hợp chuyên môn, bảo đảm không gián đoạn việc tiếp nhận, xử lý đơn và khai thác dữ liệu phục vụ nghiên cứu, đào tạo.</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quy định chuyển tiếp tại dự thảo Luật.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Nội vụ</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Đề nghị cơ quan chủ trì soạn thảo rà soát nội dung dự thảo Luật bảo đảm về thẩm quyền của Quốc hội theo quy định tại Điều 5 Luật Tổ chức Quốc hội; bảo đảm Chính phủ thống nhất quản lý nhà nước về các ngành, lĩnh vực và thực hiện phân công phạm vi quản lý nhà nước cho các bộ, cơ quan ngang bộ theo quy định tại Điều 6 Luật Tổ chức chính phủ để thực hiện nghiêm ý kiến chỉ đạo của Phó Thủ tướng Chính phủ Phạm Thị Thanh Trà tại Công văn số 435/TTg-TCCV ngày 25/4/2026.</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Để tuân thủ ý kiến của Bộ Chính trị tại Nghị quyết số 66-NQ/TW ngày 30/4/2026 của Bộ Chính trị về đổi mới công tác xây dựng và thi hành pháp luật đáp ứng yêu cầu phát triển đất nước trong kỷ nguyên mới. Đối với các vấn đề về bảo đảm quyền con người, quyền công dân; liên quan đến quốc phòng, an ninh quốc gia, an toàn, trật tự xã hội; trình tự tố tụng; thực hiện các khuyến nghị, cam kết, thoả thuận quốc tế hoặc vấn đề khác được xác định là cơ bản, quan trọng thuộc thẩm quyền quyết định của Quốc hội cần thiết quy định cụ thể nhiệm vụ, quyền hạn của Bộ trưởng, Thủ trưởng cơ quan ngang bộ tại các luật, cơ quan chủ trì soạn thảo cần giải trình rõ sự cần thiết trong quá trình xây dựng luật để tham mưu Chính phủ trình Quốc hội xem xét, quyết định theo thẩm quyền.</w:t>
            </w:r>
          </w:p>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Không quy định cụ thể tên Bộ, ngành và nhiệm vụ, quyền hạn cụ thể của bộ, ngành tại dự thảo luật</w:t>
            </w:r>
          </w:p>
        </w:tc>
        <w:tc>
          <w:tcPr>
            <w:tcW w:w="4253" w:type="dxa"/>
          </w:tcPr>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Quy định về trách nhiệm quản lý nhà nước tại Điều 11 của Luật SHTT đã được duy trì ổn định trong quá trình thi hành Luật Sở hữu trí tuệ từ năm 2005 đến nay, là cơ sở để xác định rõ trách nhiệm của từng Bộ trong quản lý nhà nước về sở hữu trí tuệ. Việc sửa đổi tại dự thảo chủ yếu chỉnh lý  kỹ thuật để bảo đảm thống nhất thay đổi về chức năng, nhiệm vụ và phân công quản lý nhà nước giữa các Bộ theo quy định của pháp luật sẵn có mà không phải là quy định mới bổ sung tại Luật.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kế thừa và quy định rõ các đầu mối quản lý nhà nước trong Luật Sở hữu trí tuệ là cần thiết để bảo đảm tính kế thừa, ổn định của pháp luật, tính minh bạch trong phân công trách nhiệm và thuận lợi trong tổ chức thi hành, nhất là đối với lĩnh vực sở hữu trí tuệ có tính liên ngành và có sự giao thoa với nhiều lĩnh vực quản lý chuyên ngành.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Trên cơ sở đó, cơ quan chủ trì soạn thảo đề xuất giữ nguyên cách thể hiện tại khoản 2, khoản 3 Điều 11 của dự thảo theo hướng kế thừa quy định hiện hành, đồng thời tiếp tục rà soát để bảo đảm nội dung quy định không làm phát sinh hoặc thay đổi thẩm quyền đã được pháp luật về tổ chức Chính phủ quy định.</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Cao su Việt Nam</w:t>
            </w:r>
          </w:p>
        </w:tc>
        <w:tc>
          <w:tcPr>
            <w:tcW w:w="5954" w:type="dxa"/>
          </w:tcPr>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đối với Điều 11, Điều 165 và các điều khoản liên quan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Ban soạn thảo lưu ý các vấn đề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tính liên tục của hồ sơ, văn bằng đang xử lý: đề nghị bổ sung, làm rõ trong điều khoản chuyển tiếp (Điều 2 Dự thảo Đề cương Luật) cơ chế xử lý đối với các đơn đăng ký bảo hộ giống cây trồng, Bằng bảo hộ giống cây trồng, hợp đồng chuyển giao quyền đối với giống cây trồng mà Tập đoàn và các đơn vị thành viên đang nộp, đang được thẩm định hoặc đã được cấp tại Bộ Nông nghiệp và Môi trường trước thời điểm Luật có hiệu lực, bảo đảm không phải nộp lại hồ sơ, không bị gián đoạn thời hạn xử lý và không phát sinh chi phí, thủ tục mới.</w:t>
            </w:r>
          </w:p>
        </w:tc>
        <w:tc>
          <w:tcPr>
            <w:tcW w:w="4253" w:type="dxa"/>
            <w:vMerge w:val="restart"/>
          </w:tcPr>
          <w:p>
            <w:pPr>
              <w:shd w:val="clear" w:color="auto" w:fill="FFFFFF"/>
              <w:spacing w:before="40" w:after="40" w:line="240" w:lineRule="auto"/>
              <w:ind w:right="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năng lực kỹ thuật khảo nghiệm DUS: khảo nghiệm tính khác biệt, tính đồng nhất, tính ổn định (DUS) đối với giống cây trồng, đặc biệt là cây lâu năm như cao su, đòi hỏi hệ thống cơ sở khảo nghiệm, chuyên gia nông nghiệp và dữ liệu khảo nghiệm tích lũy qua nhiều năm hiện đang do ngành nông nghiệp quản lý. Đề nghị Ban soạn thảo quy định rõ cơ chế kế thừa, chuyển giao hoặc phối hợp giữa Bộ Khoa học và Công nghệ với Bộ Nông nghiệp và Môi trường (các cơ sở khảo nghiệm, trung tâm giống hiện có) trong giai đoạn chuyển tiếp, tránh đứt gãy năng lực chuyên môn kỹ thuật nông nghiệp chuyên ngành.</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lộ trình chuyển giao: đề nghị quy định thời điểm có hiệu lực của nội dung chuyển giao thẩm quyền đồng bộ với thời điểm Bộ Khoa học và Công nghệ chính thức tiếp nhận đầy đủ hồ sơ, dữ liệu, cơ sở vật chất từ Bộ Nông nghiệp và Môi trường, tránh khoảng trống pháp lý hoặc gián đoạn tiếp nhận đơn trong giai đoạn giao thời.</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hAnsi="Times New Roman" w:cs="Times New Roman"/>
                <w:color w:val="FF0000"/>
              </w:rPr>
              <w:t>Sở NNMT TP Hải Phòng</w:t>
            </w:r>
          </w:p>
        </w:tc>
        <w:tc>
          <w:tcPr>
            <w:tcW w:w="5954" w:type="dxa"/>
          </w:tcPr>
          <w:p>
            <w:pPr>
              <w:pStyle w:val="NormalWeb"/>
              <w:shd w:val="clear" w:color="auto" w:fill="FFFFFF"/>
              <w:spacing w:before="40" w:beforeAutospacing="0" w:after="0" w:afterAutospacing="0"/>
              <w:ind w:right="37"/>
              <w:jc w:val="both"/>
              <w:rPr>
                <w:lang w:val="en" w:eastAsia="en-US"/>
              </w:rPr>
            </w:pPr>
            <w:r>
              <w:rPr>
                <w:lang w:val="en" w:eastAsia="en-US"/>
              </w:rPr>
              <w:t>Đề nghị đơn vị soạn thảo rà soát đồng bộ các quy định có liên quan, bảo đảm thống nhất với việc điều chỉnh đầu mối quản lý tại Điều 11 Luật Sở hữu trí tuệ; đồng thời làm rõ cơ quan thực hiện, thẩm quyền và trách nhiệm đối với từng khâu từ tiếp nhận, thẩm định, khảo nghiệm, cấp, sửa đổi, đình chỉ, hủy bỏ Bằng bảo hộ đến công bố thông tin về giống cây trồng.</w:t>
            </w:r>
          </w:p>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Đặc biệt, đề nghị làm rõ việc quản lý, vận hành, cập nhật và khai thác Cơ sở dữ liệu bảo hộ giống cây trồng trong trường hợp có thay đổi đầu mối quản lý, bảo đảm thống nhất với hệ thống cơ sở dữ liệu ngành và không làm gián đoạn việc cung cấp, khai thác thông tin phục vụ quản lý nhà nước.</w:t>
            </w:r>
          </w:p>
        </w:tc>
        <w:tc>
          <w:tcPr>
            <w:tcW w:w="4253" w:type="dxa"/>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rà soát các quy định để đảm bảo thống nhất, đồng thời bổ sung quy định chi tiết tại dự thảo Luật.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Sửa đổi, bổ sung khoản 2 và khoản 3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tcPr>
          <w:p>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Theo quy định tại khoản 4 Điều 6 Luật Tổ chức Chính phủ năm 2025 thì </w:t>
            </w:r>
            <w:r>
              <w:rPr>
                <w:rFonts w:ascii="Times New Roman" w:eastAsia="Times New Roman" w:hAnsi="Times New Roman" w:cs="Times New Roman"/>
                <w:b/>
                <w:bCs/>
                <w:i/>
                <w:iCs/>
                <w:sz w:val="24"/>
                <w:szCs w:val="24"/>
                <w:u w:val="single"/>
              </w:rPr>
              <w:t>“Chính phủ thống nhất quản lý nhà nước về các ngành, lĩnh vực; thực hiện phân công phạm vi quản lý nhà nước cho các Bộ, cơ quan ngang Bộ”</w:t>
            </w:r>
            <w:r>
              <w:rPr>
                <w:rFonts w:ascii="Times New Roman" w:eastAsia="Times New Roman" w:hAnsi="Times New Roman" w:cs="Times New Roman"/>
                <w:b/>
                <w:bCs/>
                <w:sz w:val="24"/>
                <w:szCs w:val="24"/>
                <w:u w:val="single"/>
              </w:rPr>
              <w:t>.</w:t>
            </w:r>
          </w:p>
          <w:p>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Đồng thời, tại Văn bản số 435/TTg-TCCV ngày 25/4/2026 của Thủ tướng Chính phủ gửi các Bộ trưởng, Thủ trưởng cơ quan ngang Bộ về việc sửa đổi, bổ sung các luật, nghị quyết của Quốc hội, pháp lệnh, nghị quyết của Ủy ban Thường vụ Quốc hội bảo đảm theo các nguyên tắc tại Luật Tổ chức Chính phủ, Thủ tướng Chính phủ chỉ đạo </w:t>
            </w:r>
            <w:r>
              <w:rPr>
                <w:rFonts w:ascii="Times New Roman" w:eastAsia="Times New Roman" w:hAnsi="Times New Roman" w:cs="Times New Roman"/>
                <w:i/>
                <w:iCs/>
                <w:sz w:val="24"/>
                <w:szCs w:val="24"/>
              </w:rPr>
              <w:t>“Các Bộ, cơ quan ngang Bộ khi soạn thảo các dự án luật, pháp lệnh của Ủy ban Thường vụ Quốc hội, nghị quyết của Quốc hội, Ủy ban Thường vụ Quốc hội: … không quy định cụ thể tên Bộ, ngành và nhiệm vụ, quyền hạn cụ thể của Bộ, ngành tại dự thảo Luật, nghị quyết, pháp lệnh, bảo đảm quy định những vấn đề thuộc thẩm quyền của Quốc hội theo quy định của Hiến pháp; không phân quyền trực tiếp cho các Bộ trưởng tại các luật, pháp lệnh, nghị quyết, bảo đảm Chính phủ thống nhất quản lý nhà nước cho các Bộ, cơ quan ngang Bộ theo quy định của Luật Tổ chức Chính phủ”</w:t>
            </w:r>
            <w:r>
              <w:rPr>
                <w:rFonts w:ascii="Times New Roman" w:eastAsia="Times New Roman" w:hAnsi="Times New Roman" w:cs="Times New Roman"/>
                <w:sz w:val="24"/>
                <w:szCs w:val="24"/>
              </w:rPr>
              <w:t>. Vì vậy, đề nghị cơ quan chủ trì soạn thảo chỉnh lý nội dung tại điều khoản nêu trên, đồng thời rà soát toàn bộ nội dung tại Luật SHTT và dự thảo Luật này, đảm bảo nguyên tắc Chính phủ thống nhất quản lý nhà nước về SHTT, không phân quyền trực tiếp cho Bộ Khoa học và Công nghệ hay Bộ Văn hóa, Thể thao và Du lịch. Trường hợp cơ quan chủ trì soạn thảo nhận thấy cần quy định rõ tại dự thảo Luật, đề nghị báo cáo Chính phủ xem xét, quyết định (</w:t>
            </w:r>
            <w:r>
              <w:rPr>
                <w:rFonts w:ascii="Times New Roman" w:eastAsia="Times New Roman" w:hAnsi="Times New Roman" w:cs="Times New Roman"/>
                <w:i/>
                <w:iCs/>
                <w:sz w:val="24"/>
                <w:szCs w:val="24"/>
              </w:rPr>
              <w:t>“đối với các vấn đề về bảo đảm quyền con người, quyền công dân; liên quan đến quốc phòng, an ninh quốc gia, trật tự, an toàn xã hội; trình tự tố tụng; thực hiện các khuyến nghị, cam kết, thỏa thuận quốc tế hoặc vấn đề khác được xác định là cơ bản, quan trọng thuộc thẩm quyền quyết định của Quốc hội cần thiết quy định cụ thể nhiệm vụ, quyền hạn của Bộ trưởng, Thủ trưởng cơ quan ngang Bộ tại các luật, cơ quan chủ trì soạn thảo cần giải trình rõ sự cần thiết trong quá trình xây dựng luật để tham mưu Chính phủ trình Quốc hội xem xét, quyết định theo thẩm quyền”</w:t>
            </w:r>
            <w:r>
              <w:rPr>
                <w:rFonts w:ascii="Times New Roman" w:eastAsia="Times New Roman" w:hAnsi="Times New Roman" w:cs="Times New Roman"/>
                <w:sz w:val="24"/>
                <w:szCs w:val="24"/>
              </w:rPr>
              <w:t xml:space="preserve"> - Mục 2 Văn bản số 435/TTg-TCCV).</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làm rõ sự cần thiết của việc tiếp tục xác định đầu mối quản lý nhà nước về SHTT tại Luật SHTT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SHTT là lĩnh vực có tính chuyên môn sâu, liên ngành và có phạm vi điều chỉnh gắn trực tiếp với việc thực hiện nhiều điều ước quốc tế mà Việt Nam là thành viên. Các điều ước quốc tế về SHTT không chỉ đặt ra yêu cầu về nội dung bảo hộ mà còn yêu cầu quốc gia thành viên phải thiết lập, duy trì các cơ quan có thẩm quyền và đầu mối thực hiện. Chẳng hạn, Điều 69 Hiệp định TRIPS yêu cầu các Thành viên thiết lập và thông báo đầu mối trong cơ quan hành chính để hợp tác về thực thi quyền sở hữu trí tuệ; Việt Nam đã thông báo với WTO đầu mối của Việt Nam về sở hữu trí tuệ. Đối với quyền đối với giống cây trồng, Điều 30 Công ước UPOV 1991 yêu cầu mỗi Thành viên phải duy trì một cơ quan được giao nhiệm vụ cấp quyền đối với giống cây trồng. Đây là những yêu cầu về sự tồn tại và trách nhiệm của cơ quan có thẩm quyền nhằm bảo đảm thực thi hiệu quả các cam kết quốc tế.</w:t>
            </w:r>
          </w:p>
          <w:p>
            <w:pPr>
              <w:shd w:val="clear" w:color="auto" w:fill="FFFFFF"/>
              <w:spacing w:before="180"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Thực tiễn hợp tác quốc tế trong lĩnh vực sở hữu trí tuệ cũng xác định rõ </w:t>
            </w:r>
            <w:r>
              <w:rPr>
                <w:rFonts w:ascii="Times New Roman" w:eastAsia="Times New Roman" w:hAnsi="Times New Roman" w:cs="Times New Roman"/>
                <w:b/>
                <w:bCs/>
                <w:sz w:val="24"/>
                <w:szCs w:val="24"/>
              </w:rPr>
              <w:t>Bộ Khoa học và Công nghệ, Bộ Văn hóa, Thể thao và Du lịch</w:t>
            </w:r>
            <w:r>
              <w:rPr>
                <w:rFonts w:ascii="Times New Roman" w:eastAsia="Times New Roman" w:hAnsi="Times New Roman" w:cs="Times New Roman"/>
                <w:sz w:val="24"/>
                <w:szCs w:val="24"/>
              </w:rPr>
              <w:t xml:space="preserve"> và các cơ quan có liên quan của Việt Nam là các đầu mối thực hiện trách nhiệm quản lý nhà nước và hợp tác quốc tế trong từng lĩnh vực thuộc phạm vi quản lý. Do đó, việc Luật Sở hữu trí tuệ xác định rõ các Bộ có trách nhiệm quản lý nhà nước về sở hữu trí tuệ là cần thiết để bảo đảm cơ sở pháp lý ổn định, minh bạch cho việc xác định trách nhiệm quản lý, tổ chức thực hiện pháp luật và thực hiện các nghĩa vụ, cam kết quốc tế của Việt Nam về sở hữu trí tuệ.</w:t>
            </w:r>
          </w:p>
          <w:p>
            <w:pPr>
              <w:shd w:val="clear" w:color="auto" w:fill="FFFFFF"/>
              <w:spacing w:before="180" w:after="1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Quy định này đã được kế thừa từ Luật Sở hữu trí tuệ năm 2005 và được duy trì qua các lần sửa đổi, bổ sung. Việc tiếp tục quy định tại Luật Sở hữu trí tuệ không nhằm thay thế thẩm quyền của Chính phủ trong việc thống nhất quản lý nhà nước và phân công phạm vi quản lý nhà nước cho các Bộ, mà nhằm thể hiện tại Luật cơ sở pháp lý của việc phân định trách nhiệm quản lý nhà nước trong lĩnh vực sở hữu trí tuệ, bảo đảm tính ổn định, minh bạch và thuận lợi trong tổ chức thi hành Luật. Trên cơ sở đó, việc cập nhật tên Bộ và phạm vi trách nhiệm quản lý tại dự thảo được thực hiện phù hợp với sự phân công quản lý nhà nước hiện hành của Chính phủ.</w:t>
            </w: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Bộ Khoa học và Công nghệ chịu trách nhiệm trước Chính phủ chủ trì, phối hợp với Bộ Văn hóa, Thể thao và Du lịch</w:t>
            </w:r>
            <w:r>
              <w:rPr>
                <w:rFonts w:ascii="Times New Roman" w:eastAsia="Times New Roman" w:hAnsi="Times New Roman" w:cs="Times New Roman"/>
                <w:strike/>
                <w:sz w:val="24"/>
                <w:szCs w:val="24"/>
              </w:rPr>
              <w:t>, Bộ Nông nghiệp và Môi trường</w:t>
            </w:r>
            <w:r>
              <w:rPr>
                <w:rFonts w:ascii="Times New Roman" w:eastAsia="Times New Roman" w:hAnsi="Times New Roman" w:cs="Times New Roman"/>
                <w:sz w:val="24"/>
                <w:szCs w:val="24"/>
              </w:rPr>
              <w:t xml:space="preserve"> thực hiện quản lý nhà nước về sở hữu trí tuệ và thực hiện quản lý nhà nước về quyền sở hữu công nghiệp</w:t>
            </w:r>
            <w:r>
              <w:rPr>
                <w:rFonts w:ascii="Times New Roman" w:eastAsia="Times New Roman" w:hAnsi="Times New Roman" w:cs="Times New Roman"/>
                <w:b/>
                <w:bCs/>
                <w:i/>
                <w:iCs/>
                <w:sz w:val="24"/>
                <w:szCs w:val="24"/>
              </w:rPr>
              <w:t>, quyền đối với giống cây trồng</w:t>
            </w:r>
            <w:r>
              <w:rPr>
                <w:rFonts w:ascii="Times New Roman" w:eastAsia="Times New Roman" w:hAnsi="Times New Roman" w:cs="Times New Roman"/>
                <w:sz w:val="24"/>
                <w:szCs w:val="24"/>
              </w:rPr>
              <w: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Văn hóa, Thể thao và Du lịch trong phạm vi nhiệm vụ, quyền hạn của mình thực hiện quản lý nhà nước về quyền tác giả và quyền liên quan.</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trike/>
                <w:sz w:val="24"/>
                <w:szCs w:val="24"/>
              </w:rPr>
              <w:t>Bộ Nông nghiệp và Môi trường trong phạm vi nhiệm vụ, quyền hạn của mình thực hiện quản lý nhà nước về quyền đối với giống cây trồng.</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keepNext/>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chuyển đầu mối quản lý quyền đối với giống cây trồng sang Bộ KH&amp;CN là hợp lý về quản trị quyền SHTT, nhưng không nên làm gián đoạn hạ tầng kỹ thuật về khảo nghiệm tính khác biệt, tính đồng nhất và tính ổn định, vật liệu giống và chuyên môn nông nghiệp.</w:t>
            </w:r>
          </w:p>
          <w:p>
            <w:pPr>
              <w:keepNext/>
              <w:widowControl w:val="0"/>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Đề nghị bổ sung nguyên tắc:</w:t>
            </w:r>
            <w:r>
              <w:rPr>
                <w:rFonts w:ascii="Times New Roman" w:eastAsia="Times New Roman" w:hAnsi="Times New Roman" w:cs="Times New Roman"/>
                <w:i/>
                <w:iCs/>
                <w:sz w:val="24"/>
                <w:szCs w:val="24"/>
              </w:rPr>
              <w:t xml:space="preserve"> </w:t>
            </w:r>
          </w:p>
          <w:p>
            <w:pPr>
              <w:keepNext/>
              <w:widowControl w:val="0"/>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b/>
                <w:bCs/>
                <w:i/>
                <w:iCs/>
                <w:sz w:val="24"/>
                <w:szCs w:val="24"/>
                <w:u w:val="single"/>
              </w:rPr>
              <w:t>“Bộ Khoa học và Công nghệ thực hiện quản lý nhà nước về quyền đối với giống cây trồng; phối hợp với Bộ Nông nghiệp và Môi trường và cơ quan liên quan trong khảo nghiệm kỹ thuật, quản lý vật liệu giống và các vấn đề chuyên ngành nông nghiệp liên quan đến xác lập, bảo vệ quyền.”</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là phù hợp về sự cần thiết phải bảo đảm tính liên tục, đồng bộ về chuyên môn kỹ thuật và cơ sở hạ tầng phục vụ việc xác lập, bảo vệ quyền đối với giống cây trồng, đặc biệt đối với hoạt động khảo nghiệm kỹ thuật, quản lý vật liệu giống và các vấn đề chuyên ngành nông nghiệp có liên quan.</w:t>
            </w:r>
          </w:p>
          <w:p>
            <w:pPr>
              <w:shd w:val="clear" w:color="auto" w:fill="FFFFFF"/>
              <w:spacing w:before="40" w:after="40" w:line="240" w:lineRule="auto"/>
              <w:ind w:right="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quy định tại khoản này nhằm xác định đầu mối và trách nhiệm quản lý nhà nước về sở hữu trí tuệ giữa các Bộ, trong đó xác định Bộ Khoa học và Công nghệ chịu trách nhiệm trước Chính phủ chủ trì, phối hợp thực hiện quản lý nhà nước về sở hữu trí tuệ và quản lý nhà nước về quyền sở hữu công nghiệp, quyền đối với giống cây trồng. Đây là quy định mang tính nguyên tắc về phân định trách nhiệm quản lý nhà nước, không phải là quy định về trình tự, thủ tục chuyên môn hoặc phương thức tổ chức thực hiện đối với từng hoạt động cụ thể.</w:t>
            </w:r>
          </w:p>
          <w:p>
            <w:pPr>
              <w:shd w:val="clear" w:color="auto" w:fill="FFFFFF"/>
              <w:spacing w:before="40" w:after="40" w:line="240" w:lineRule="auto"/>
              <w:ind w:right="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khảo nghiệm kỹ thuật, quản lý và sử dụng vật liệu giống, huy động cơ sở vật chất, chuyên gia và các điều kiện chuyên môn nông nghiệp để phục vụ xác lập và bảo vệ quyền đối với giống cây trồng là những nội dung có tính chất chuyên ngành, cần được quy định và tổ chức thực hiện thông qua các quy định pháp luật chuyên ngành và cơ chế phối hợp cụ thể giữa Bộ Khoa học và Công nghệ, Bộ Nông nghiệp và Môi trường và các cơ quan có liên quan. Việc quy định chi tiết các nội dung này ngay tại điều khoản về trách nhiệm quản lý nhà nước về sở hữu trí tuệ có thể dẫn đến trùng lặp hoặc làm cứng hóa cơ chế phối hợp, trong khi yêu cầu thực tiễn có thể thay đổi theo tổ chức bộ máy, quy định chuyên ngành và phương thức thực hiện.</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 đó, đề nghị không bổ sung nội dung về cơ chế phối hợp tại khoản này. Các nội dung về phối hợp giữa Bộ Khoa học và Công nghệ với Bộ Nông nghiệp và Môi trường trong quá trình thực hiện quản lý nhà nước về quyền đối với giống cây trồng sẽ được nghiên cứu, quy định cụ thể tại các điều khoản có liên quan và các văn bản quy định chi tiết hoặc có thể xây dựng cơ chế phối hợp cụ thể bảo đảm vừa thống nhất đầu mối quản lý nhà nước về sở hữu trí tuệ, vừa duy trì và phát huy năng lực, cơ sở hạ tầng và chuyên môn kỹ thuật của ngành nông nghiệp. </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Hội Sở hữu trí tuệ Việt Nam</w:t>
            </w:r>
          </w:p>
        </w:tc>
        <w:tc>
          <w:tcPr>
            <w:tcW w:w="5954" w:type="dxa"/>
          </w:tcPr>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đối với Điều 11, Điều 178 và nhóm quyền đối với giống cây trồng:</w:t>
            </w:r>
          </w:p>
          <w:p>
            <w:pPr>
              <w:shd w:val="clear" w:color="auto" w:fill="FFFFFF"/>
              <w:spacing w:before="40" w:after="40" w:line="240" w:lineRule="auto"/>
              <w:ind w:right="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việc xác lập quyền đối với giống cây trồng phụ thuộc nhiều vào khảo nghiệm DUS, vật liệu giống, cơ sở khảo nghiệm, điều kiện mùa vụ và năng lực chuyên môn sinh học, nông học, đề nghị bổ sung nguyên tắc phối hợp giữa Bộ Khoa học và Công nghệ với Bộ Nông nghiệp và Môi trường để giữ tính liên tục của hạ tầng chuyên môn hiện có.</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Lào Cai, Sở KHCN Lai Châu</w:t>
            </w:r>
          </w:p>
        </w:tc>
        <w:tc>
          <w:tcPr>
            <w:tcW w:w="5954" w:type="dxa"/>
          </w:tcPr>
          <w:p>
            <w:pPr>
              <w:keepNext/>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ban soạn thảo giữ nguyên trách nhiệm quản lý nhà nước </w:t>
            </w:r>
            <w:r>
              <w:rPr>
                <w:rFonts w:ascii="Times New Roman" w:eastAsia="Times New Roman" w:hAnsi="Times New Roman" w:cs="Times New Roman"/>
                <w:i/>
                <w:iCs/>
                <w:sz w:val="24"/>
                <w:szCs w:val="24"/>
              </w:rPr>
              <w:t xml:space="preserve">“về quyền đối với giống cây trồng” </w:t>
            </w:r>
            <w:r>
              <w:rPr>
                <w:rFonts w:ascii="Times New Roman" w:eastAsia="Times New Roman" w:hAnsi="Times New Roman" w:cs="Times New Roman"/>
                <w:sz w:val="24"/>
                <w:szCs w:val="24"/>
              </w:rPr>
              <w:t xml:space="preserve">thuộc Bộ Nông nghiệp và Môi trường như quy định hiện hành, cụ thể: </w:t>
            </w:r>
          </w:p>
          <w:p>
            <w:pPr>
              <w:keepNext/>
              <w:widowControl w:val="0"/>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“2. Bộ Khoa học và Công nghệ chịu trách nhiệm trước Chính phủ chủ trì, phối hợp với Bộ Văn hóa, Thể thao và Du lịch, </w:t>
            </w:r>
            <w:r>
              <w:rPr>
                <w:rFonts w:ascii="Times New Roman" w:eastAsia="Times New Roman" w:hAnsi="Times New Roman" w:cs="Times New Roman"/>
                <w:b/>
                <w:bCs/>
                <w:i/>
                <w:iCs/>
                <w:sz w:val="24"/>
                <w:szCs w:val="24"/>
                <w:u w:val="single"/>
              </w:rPr>
              <w:t>Bộ Nông nghiệp và Môi trường</w:t>
            </w:r>
            <w:r>
              <w:rPr>
                <w:rFonts w:ascii="Times New Roman" w:eastAsia="Times New Roman" w:hAnsi="Times New Roman" w:cs="Times New Roman"/>
                <w:i/>
                <w:iCs/>
                <w:sz w:val="24"/>
                <w:szCs w:val="24"/>
              </w:rPr>
              <w:t xml:space="preserve"> thực hiện quản lý nhà nước về sở hữu trí tuệ và thực hiện quản lý nhà nước về quyền sở hữu công nghiệp.</w:t>
            </w:r>
          </w:p>
          <w:p>
            <w:pPr>
              <w:keepNext/>
              <w:widowControl w:val="0"/>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Bộ Văn hóa, Thể thao và Du lịch trong phạm vi nhiệm vụ, quyền hạn của mình thực hiện quản lý nhà nước về quyền tác giả và quyền liên quan.</w:t>
            </w:r>
          </w:p>
          <w:p>
            <w:pPr>
              <w:keepNext/>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u w:val="single"/>
              </w:rPr>
              <w:t>Bộ Nông nghiệp và Môi trường trong phạm vi nhiệm vụ, quyền hạn của mình thực hiện quản lý nhà nước về quyền đối với giống cây trồng</w:t>
            </w:r>
            <w:r>
              <w:rPr>
                <w:rFonts w:ascii="Times New Roman" w:eastAsia="Times New Roman" w:hAnsi="Times New Roman" w:cs="Times New Roman"/>
                <w:i/>
                <w:iCs/>
                <w:sz w:val="24"/>
                <w:szCs w:val="24"/>
              </w:rPr>
              <w:t>”.</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cơ sở đề xuất chuyển chức năng quản lý nhà nước đã được cơ quan soạn thảo nêu rõ tại tại dự thảo Tờ trình Chính phủ, cụ thể:</w:t>
            </w:r>
          </w:p>
          <w:p>
            <w:pPr>
              <w:shd w:val="clear" w:color="auto" w:fill="FFFFFF"/>
              <w:spacing w:before="40" w:after="40" w:line="240" w:lineRule="auto"/>
              <w:ind w:right="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Cơ sở chính trị, pháp lý: Nghị quyết số 18-NQ/TW ngày 25/10/2017 của Ban Chấp hành Trung ương khóa XII; Công ước UPOV,…</w:t>
            </w:r>
          </w:p>
          <w:p>
            <w:pPr>
              <w:shd w:val="clear" w:color="auto" w:fill="FFFFFF"/>
              <w:spacing w:before="40" w:after="40" w:line="240" w:lineRule="auto"/>
              <w:ind w:right="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Lý do đề xuất: Thực tiễn quốc tế cho thấy, nhiều quốc gia tổ chức cơ quan bảo hộ giống cây trồng theo hướng gắn với hệ thống quản lý SHTT hoặc cơ quan quản lý đổi mới sáng tạo nhằm bảo đảm tính thống nhất về xác lập, khai thác và bảo vệ quyền SHTT. Theo đó, Bộ KH&amp;CN hiện là cơ quan đầu mối quản lý nhà nước về SHTT, đang quản lý đồng bộ hệ thống xác lập quyền sở hữu công nghiệp, cơ sở dữ liệu quốc gia về sở hữu công nghiệp, hạ tầng số phục vụ tiếp nhận và xử lý đơn đăng ký, hệ thống công bố và tra cứu thông tin SHTT, cùng đội ngũ chuyên môn về thẩm định các đối tượng sở hữu công nghiệp. Việc chuyển giao chức năng quản lý nhà nước về quyền đối với giống cây trồng sang Bộ KH&amp;CN sẽ tạo điều kiện tận dụng hiệu quả hạ tầng kỹ thuật, cơ sở dữ liệu, nguồn nhân lực và kinh nghiệm quản lý sẵn có; đồng thời bảo đảm thống nhất trong quản lý hoạt động xác lập quyền SHTT, thúc đẩy chuyển đổi số, đơn giản hóa thủ tục hành chính và giảm đầu mối quản lý.</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Bên cạnh đó, hoạt động bảo hộ giống cây trồng hiện nay chưa gắn kết chặt chẽ với hệ sinh thái khoa học công nghệ, đổi mới sáng tạo, chuyển giao công nghệ và thương mại hóa tài sản trí tuệ. Trong khi đó, giống cây trồng ngày càng trở thành tài sản trí tuệ có giá trị cao, gắn chặt với công nghệ sinh học, công nghệ gen, dữ liệu số và chuỗi giá trị nông nghiệp hiện đại. Điều này đòi hỏi cơ chế quản lý phải chuyển mạnh từ tư duy quản lý sản xuất ngành sang tư duy quản trị tài sản trí tuệ và đổi mới sáng tạo. </w:t>
            </w: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Lai Châu</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ban soạn thảo giữ nguyên trách nhiệm quản lý nhà nước </w:t>
            </w:r>
            <w:r>
              <w:rPr>
                <w:rFonts w:ascii="Times New Roman" w:eastAsia="Times New Roman" w:hAnsi="Times New Roman" w:cs="Times New Roman"/>
                <w:i/>
                <w:iCs/>
                <w:sz w:val="24"/>
                <w:szCs w:val="24"/>
              </w:rPr>
              <w:t>“về quyền đối với giống cây trồng”</w:t>
            </w:r>
            <w:r>
              <w:rPr>
                <w:rFonts w:ascii="Times New Roman" w:eastAsia="Times New Roman" w:hAnsi="Times New Roman" w:cs="Times New Roman"/>
                <w:sz w:val="24"/>
                <w:szCs w:val="24"/>
              </w:rPr>
              <w:t xml:space="preserve"> thuộc Bộ Nông nghiệp và Môi trường như quy định hiện hành, cụ thể:</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“3. Bộ, cơ quan ngang bộ, cơ quan thuộc Chính phủ trong phạm vi nhiệm vụ, quyền hạn của mình có trách nhiệm phối hợp với Bộ Khoa học và Công nghệ, Bộ Văn hóa, Thể thao và Du lịch, </w:t>
            </w:r>
            <w:r>
              <w:rPr>
                <w:rFonts w:ascii="Times New Roman" w:eastAsia="Times New Roman" w:hAnsi="Times New Roman" w:cs="Times New Roman"/>
                <w:b/>
                <w:bCs/>
                <w:i/>
                <w:iCs/>
                <w:sz w:val="24"/>
                <w:szCs w:val="24"/>
                <w:u w:val="single"/>
              </w:rPr>
              <w:t>Bộ Nông nghiệp và Môi trường</w:t>
            </w:r>
            <w:r>
              <w:rPr>
                <w:rFonts w:ascii="Times New Roman" w:eastAsia="Times New Roman" w:hAnsi="Times New Roman" w:cs="Times New Roman"/>
                <w:i/>
                <w:iCs/>
                <w:sz w:val="24"/>
                <w:szCs w:val="24"/>
              </w:rPr>
              <w:t>, Ủy ban nhân dân tỉnh, thành phố trực thuộc Trung ương trong việc quản lý nhà nước về sở hữu trí tuệ.”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Việc giao Bộ KHCN thực hiện quản lý nhà nước về quyền đối với giống cây trồng là chưa phù hợp với chức năng, nhiệm vụ và lĩnh vực quản lý chuyên ngành, khó khăn trong quá trình quản lý. Do đó, việc giữ nguyên Bộ Nông nghiệp và Môi trường thực hiện quản lý nhà nước về quyền đối với giống cây trồng sẽ bảo đảm tính thống nhất, chuyên ngành và hiệu quả trong tổ chức thực hiện.</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keepNext/>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thay đổi đầu mối quản lý quyền đối với giống cây trồng nhưng cần phân định với quản lý chuyên ngành về giống cây trồng.</w:t>
            </w:r>
          </w:p>
          <w:p>
            <w:pPr>
              <w:keepNext/>
              <w:widowControl w:val="0"/>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Bổ sung tại Điều 11 theo hướng: </w:t>
            </w:r>
            <w:r>
              <w:rPr>
                <w:rFonts w:ascii="Times New Roman" w:eastAsia="Times New Roman" w:hAnsi="Times New Roman" w:cs="Times New Roman"/>
                <w:b/>
                <w:bCs/>
                <w:i/>
                <w:iCs/>
                <w:sz w:val="24"/>
                <w:szCs w:val="24"/>
                <w:u w:val="single"/>
              </w:rPr>
              <w:t>“Bộ Khoa học và Công nghệ chủ trì quản lý nhà nước về quyền đối với giống cây trồng; Bộ Nông nghiệp và Môi trường thực hiện quản lý nhà nước về hoạt động sản xuất, kinh doanh và các vấn đề chuyên ngành về giống cây trồng; các cơ quan có liên quan phối hợp trong các vấn đề giao thoa giữa bảo hộ quyền và quản lý chuyên ngành.”</w:t>
            </w:r>
          </w:p>
          <w:p>
            <w:pPr>
              <w:keepNext/>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11 hiện hành đã giao Chính phủ quy định cụ thể thẩm quyền, trách nhiệm quản lý nhà nước về SHTT của Bộ KH&amp;CN, Bộ NN&amp;MT và UBND các cấp. Vì vậy, góp ý không nên chỉ yêu cầu “làm rõ” mà cần xác định ngay ranh giới giữa quản lý quyền SHTT và quản lý chuyên ngành.</w:t>
            </w:r>
          </w:p>
        </w:tc>
        <w:tc>
          <w:tcPr>
            <w:tcW w:w="4253" w:type="dxa"/>
          </w:tcPr>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Việc quy định trách nhiệm quản lý nhà nước tại Điều 11 chỉ tương ứng với phạm vi điều chỉnh của Luật SHTT. Theo đó, trách nhiệm quản lý nhà nước về giống cây trồng được chuyển cho Bộ KH&amp;CN liên quan đến xác lập, bảo hộ quyền đối với giống cây trồng. Đối với trách nhiệm quản lý nhà nước khác về giống cây trồng được điều chỉnh bởi pháp luật liên quan sẽ do văn bản đó điều chỉnh. Vì vậy, xin giữ nguyên quy định dự thảo đối với khoản 2 Điều 11.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Gia Lai</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chỉnh sửa khoản 2 thành:</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2. Bộ Khoa học và Công nghệ chịu trách nhiệm trước Chính phủ về việc chủ trì, phối hợp với Bộ Văn hóa, Thể thao và Du lịch, </w:t>
            </w:r>
            <w:r>
              <w:rPr>
                <w:rFonts w:ascii="Times New Roman" w:eastAsia="Times New Roman" w:hAnsi="Times New Roman" w:cs="Times New Roman"/>
                <w:b/>
                <w:bCs/>
                <w:i/>
                <w:iCs/>
                <w:sz w:val="24"/>
                <w:szCs w:val="24"/>
                <w:u w:val="single"/>
              </w:rPr>
              <w:t>Bộ Nông nghiệp và Môi trường, Bộ Công Thương và các bộ, ngành có liên quan khác</w:t>
            </w:r>
            <w:r>
              <w:rPr>
                <w:rFonts w:ascii="Times New Roman" w:eastAsia="Times New Roman" w:hAnsi="Times New Roman" w:cs="Times New Roman"/>
                <w:i/>
                <w:iCs/>
                <w:sz w:val="24"/>
                <w:szCs w:val="24"/>
              </w:rPr>
              <w:t xml:space="preserve"> thực hiện quản lý nhà nước về sở hữu trí tuệ, thực hiện quản lý nhà nước về quyền sở hữu công nghiệp và quyền đối với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chỉnh sửa nhằm làm rõ trách nhiệm chủ trì quản lý nhà nước về sở hữu trí tuệ và trách nhiệm quản lý chuyên ngành đối với quyền sở hữu công nghiệp, quyền đối với giống cây trồng. Bên cạnh đó, quyền đối với giống cây trồng có tính chuyên ngành cao, gắn trực tiếp với hoạt động nghiên cứu, chọn tạo, khảo nghiệm, công nhận, sản xuất, kinh doanh và quản lý giống cây trồng. Do đó, đề nghị cơ quan soạn thảo nghiên cứu quy định cụ thể cơ chế phối hợp giữa Bộ Khoa học và Công nghệ với Bộ Nông nghiệp và Môi trường trong quản lý nhà nước về quyền đối với giống cây trồng, bảo đảm tính liên tục, thống nhất giữa hoạt động bảo hộ quyền sở hữu trí tuệ với công tác quản lý chuyên ngành về giống cây trồng.</w:t>
            </w:r>
          </w:p>
        </w:tc>
        <w:tc>
          <w:tcPr>
            <w:tcW w:w="4253" w:type="dxa"/>
          </w:tcPr>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Quy định về trách nhiệm phối hợp của Bộ, cơ quan ngang bộ khác trong thực hiện quản lý nhà nước đã được quy định tại khoản 3 Điều 11.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hAnsi="Times New Roman" w:cs="Times New Roman"/>
                <w:color w:val="FF0000"/>
              </w:rPr>
              <w:t>Sở NNMT TP Hải Phòng</w:t>
            </w:r>
          </w:p>
        </w:tc>
        <w:tc>
          <w:tcPr>
            <w:tcW w:w="5954" w:type="dxa"/>
          </w:tcPr>
          <w:p>
            <w:pPr>
              <w:pStyle w:val="NormalWeb"/>
              <w:shd w:val="clear" w:color="auto" w:fill="FFFFFF"/>
              <w:spacing w:before="40" w:beforeAutospacing="0" w:after="0" w:afterAutospacing="0"/>
              <w:jc w:val="both"/>
            </w:pPr>
            <w:r>
              <w:rPr>
                <w:color w:val="FF0000"/>
              </w:rPr>
              <w:t xml:space="preserve">Đề nghị đơn vị soạn thảo rà soát, làm rõ quy định sửa đổi khoản 2, khoản 3 Điều 11 Luật Sở hữu trí tuệ về trách nhiệm quản lý nhà nước và cơ chế phối hợp đối với quyền đối với giống cây trồng, </w:t>
            </w:r>
            <w:r>
              <w:rPr>
                <w:b/>
                <w:bCs/>
                <w:color w:val="FF0000"/>
              </w:rPr>
              <w:t>nhất là việc điều chỉnh đầu mối quản lý nhà nước về quyền đối với giống cây trồng từ Bộ Nông nghiệp và Môi trường sang Bộ Khoa học và Công nghệ</w:t>
            </w:r>
            <w:r>
              <w:rPr>
                <w:color w:val="FF0000"/>
              </w:rPr>
              <w:t>. Lý do:</w:t>
            </w:r>
          </w:p>
          <w:p>
            <w:pPr>
              <w:pStyle w:val="NormalWeb"/>
              <w:shd w:val="clear" w:color="auto" w:fill="FFFFFF"/>
              <w:spacing w:before="0" w:beforeAutospacing="0" w:after="0" w:afterAutospacing="0"/>
              <w:jc w:val="both"/>
            </w:pPr>
            <w:r>
              <w:rPr>
                <w:color w:val="FF0000"/>
              </w:rPr>
              <w:t>- Trong thời gian gần đây, Bộ Nông nghiệp và Môi trường đã tiếp tục triển khai, hoàn thiện các nội dung quản lý nhà nước về quyền đối với giống cây trồng, như ban hành Thông tư số 13/2026/TT-BNNMT ngày 27/02/2026 quy định chương trình đào tạo pháp luật về quyền đối với giống cây trồng và Văn bản hợp nhất số 58/VBHN-BNNMT ngày 02/6/2026 quy định chi tiết một số điều và biện pháp thi hành Luật Sở hữu trí tuệ về quyền đối với giống cây trồng.</w:t>
            </w:r>
          </w:p>
          <w:p>
            <w:pPr>
              <w:pStyle w:val="NormalWeb"/>
              <w:shd w:val="clear" w:color="auto" w:fill="FFFFFF"/>
              <w:spacing w:before="0" w:beforeAutospacing="0" w:after="0" w:afterAutospacing="0"/>
              <w:jc w:val="both"/>
            </w:pPr>
            <w:r>
              <w:rPr>
                <w:color w:val="FF0000"/>
              </w:rPr>
              <w:t>- Bên cạnh đó, Bộ Nông nghiệp và Môi trường đang triển khai Cơ sở dữ liệu bảo hộ giống cây trồng trong hệ thống cơ sở dữ liệu ngành; đồng thời trong quá trình thực hiện mô hình chính quyền địa phương 2 cấp, chính quyền cấp xã được giao một số nhiệm vụ liên quan đến quản lý nhà nước về bảo hộ quyền đối với giống cây trồng tại địa phương.</w:t>
            </w:r>
          </w:p>
          <w:p>
            <w:pPr>
              <w:shd w:val="clear" w:color="auto" w:fill="FFFFFF"/>
              <w:spacing w:before="40" w:after="40" w:line="240" w:lineRule="auto"/>
              <w:jc w:val="both"/>
              <w:rPr>
                <w:rFonts w:ascii="Times New Roman" w:eastAsia="Times New Roman" w:hAnsi="Times New Roman" w:cs="Times New Roman"/>
                <w:sz w:val="24"/>
                <w:szCs w:val="24"/>
                <w:lang w:val="vi-VN"/>
              </w:rPr>
            </w:pPr>
            <w:r>
              <w:rPr>
                <w:rFonts w:ascii="Times New Roman" w:hAnsi="Times New Roman" w:cs="Times New Roman"/>
                <w:color w:val="FF0000"/>
                <w:lang w:val="vi-VN"/>
              </w:rPr>
              <w:t>Do đó, đề nghị đơn vị soạn thảo làm rõ cơ sở, sự cần thiết và phạm vi của việc điều chỉnh đầu mối quản lý nhà nước về quyền đối với giống cây trồng; đồng thời xác định rõ trách nhiệm, phạm vi phối hợp của Bộ Nông nghiệp và Môi trường, Ủy ban nhân dân các cấp và các cơ quan có liên quan, bảo đảm phù hợp với chức năng quản lý chuyên ngành về trồng trọt, giống cây trồng; đồng thời bảo đảm tính liên tục, thống nhất trong tổ chức thực hiện.</w:t>
            </w:r>
          </w:p>
        </w:tc>
        <w:tc>
          <w:tcPr>
            <w:tcW w:w="4253" w:type="dxa"/>
          </w:tcPr>
          <w:p>
            <w:pPr>
              <w:shd w:val="clear" w:color="auto" w:fill="FFFFFF"/>
              <w:spacing w:before="40" w:after="40" w:line="240" w:lineRule="auto"/>
              <w:ind w:right="114"/>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lang w:val="vi-VN"/>
              </w:rPr>
              <w:t>Cơ quan chủ trì soạn thảo xin giải trình như sau:</w:t>
            </w:r>
          </w:p>
          <w:p>
            <w:pPr>
              <w:shd w:val="clear" w:color="auto" w:fill="FFFFFF"/>
              <w:spacing w:before="40" w:after="40" w:line="240" w:lineRule="auto"/>
              <w:ind w:right="114"/>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lang w:val="vi-VN"/>
              </w:rPr>
              <w:t>- Khoản 7 Điều 1 dự thảo Luật sửa đổi, bổ sung khoản 7 Điều 165 theo hướng Bộ trưởng Bộ Khoa học và Công nghệ quy định chương trình đào tạo pháp luật về quyền đối với giống cây trồng. Do đó, sau khi tiếp nhận chức năng quản lý nhà nước từ Bộ NN&amp;MT, Bộ KH&amp;CN sẽ ban hành Thông tư mới phù hợp thẩm quyền và quy định mà Luật giao.</w:t>
            </w:r>
          </w:p>
          <w:p>
            <w:pPr>
              <w:shd w:val="clear" w:color="auto" w:fill="FFFFFF"/>
              <w:spacing w:before="40" w:after="40" w:line="240" w:lineRule="auto"/>
              <w:ind w:right="114"/>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lang w:val="vi-VN"/>
              </w:rPr>
              <w:t>- Việc chuyển giao chức năng quản lý nhà nước cũng sẽ thực hiện việc chuyển giao cơ sở dữ liệu, hồ sơ,…nội dung này đã được làm rõ tại Phần VI của dự thảo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Bộ, cơ quan ngang bộ, cơ quan thuộc Chính phủ trong phạm vi nhiệm vụ, quyền hạn của mình có trách nhiệm phối hợp với Bộ Khoa học và Công nghệ, Bộ Văn hóa, Thể thao và Du lịch, </w:t>
            </w:r>
            <w:r>
              <w:rPr>
                <w:rFonts w:ascii="Times New Roman" w:eastAsia="Times New Roman" w:hAnsi="Times New Roman" w:cs="Times New Roman"/>
                <w:strike/>
                <w:sz w:val="24"/>
                <w:szCs w:val="24"/>
              </w:rPr>
              <w:t xml:space="preserve">Bộ Nông nghiệp và Môi trường, </w:t>
            </w:r>
            <w:r>
              <w:rPr>
                <w:rFonts w:ascii="Times New Roman" w:eastAsia="Times New Roman" w:hAnsi="Times New Roman" w:cs="Times New Roman"/>
                <w:sz w:val="24"/>
                <w:szCs w:val="24"/>
              </w:rPr>
              <w:t>Ủy ban nhân dân tỉnh, thành phố trực thuộc Trung ương trong việc quản lý nhà nước về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Thông tấn xã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bỏ cụm từ </w:t>
            </w:r>
            <w:r>
              <w:rPr>
                <w:rFonts w:ascii="Times New Roman" w:eastAsia="Times New Roman" w:hAnsi="Times New Roman" w:cs="Times New Roman"/>
                <w:b/>
                <w:bCs/>
                <w:i/>
                <w:iCs/>
                <w:sz w:val="24"/>
                <w:szCs w:val="24"/>
                <w:u w:val="single"/>
              </w:rPr>
              <w:t>“cơ quan thuộc Chính phủ”</w:t>
            </w:r>
            <w:r>
              <w:rPr>
                <w:rFonts w:ascii="Times New Roman" w:eastAsia="Times New Roman" w:hAnsi="Times New Roman" w:cs="Times New Roman"/>
                <w:sz w:val="24"/>
                <w:szCs w:val="24"/>
              </w:rPr>
              <w:t xml:space="preserve"> vì hiện nay không còn các cơ quan này.</w:t>
            </w:r>
          </w:p>
        </w:tc>
        <w:tc>
          <w:tcPr>
            <w:tcW w:w="4253"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chỉnh lý khoản 3 Điều 11 tại dự thảo Luật.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Sửa đổi, bổ sung khoản 5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“5. Chính phủ quy định cụ thể thẩm quyền, trách nhiệm quản lý nhà nước về sở hữu trí tuệ của Bộ Khoa học và Công nghệ, Bộ Văn hóa, Thể thao và Du lịch, </w:t>
            </w:r>
            <w:r>
              <w:rPr>
                <w:rFonts w:ascii="Times New Roman" w:eastAsia="Times New Roman" w:hAnsi="Times New Roman" w:cs="Times New Roman"/>
                <w:strike/>
                <w:sz w:val="24"/>
                <w:szCs w:val="24"/>
              </w:rPr>
              <w:t>Bộ Nông nghiệp và Môi trường,</w:t>
            </w:r>
            <w:r>
              <w:rPr>
                <w:rFonts w:ascii="Times New Roman" w:eastAsia="Times New Roman" w:hAnsi="Times New Roman" w:cs="Times New Roman"/>
                <w:sz w:val="24"/>
                <w:szCs w:val="24"/>
              </w:rPr>
              <w:t xml:space="preserve"> Ủy ban nhân dân các cấp.”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Lai Châu</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nghiên cứu giữ nguyên quy định như Luật SHTT hiện hành, cụ thể:</w:t>
            </w:r>
          </w:p>
          <w:p>
            <w:pPr>
              <w:shd w:val="clear" w:color="auto" w:fill="FFFFFF"/>
              <w:spacing w:before="40" w:after="40" w:line="240" w:lineRule="auto"/>
              <w:ind w:right="114"/>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“5. Chính phủ quy định cụ thể thẩm quyền, trách nhiệm quản lý nhà nước về sở hữu trí tuệ của Bộ Khoa học và Công nghệ, Bộ Văn hóa, Thể thao và Du lịch, </w:t>
            </w:r>
            <w:r>
              <w:rPr>
                <w:rFonts w:ascii="Times New Roman" w:eastAsia="Times New Roman" w:hAnsi="Times New Roman" w:cs="Times New Roman"/>
                <w:b/>
                <w:bCs/>
                <w:i/>
                <w:iCs/>
                <w:sz w:val="24"/>
                <w:szCs w:val="24"/>
                <w:u w:val="single"/>
              </w:rPr>
              <w:t>Bộ Nông nghiệp và Môi trường</w:t>
            </w:r>
            <w:r>
              <w:rPr>
                <w:rFonts w:ascii="Times New Roman" w:eastAsia="Times New Roman" w:hAnsi="Times New Roman" w:cs="Times New Roman"/>
                <w:i/>
                <w:iCs/>
                <w:sz w:val="24"/>
                <w:szCs w:val="24"/>
              </w:rPr>
              <w:t>, Ủy ban nhân dân các cấp.”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Nội dung giải trình đã nêu tại ý kiến góp ý đối với khoản 2 Điều này.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Thanh Hoá</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nghiên cứu quy định rõ hơn trách nhiệm của Ủy ban nhân dân cấp tỉnh và cơ quan chuyên môn thuộc Ủy ban nhân dân cấp tỉnh trong thực hiện quản lý nhà nước về sở hữu trí tuệ.</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nghiên cứu bổ sung nguyên tắc phân định trách nhiệm giữa cơ quan trung ương và địa phương ngay trong Luật, hạn chế tình trạng phải chờ quy định chi tiết mới xác định được trách nhiệm của từng cấp, đồng thời bảo đảm phù hợp với mô hình tổ chức chính quyền địa phương hiện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Điều 11 của Luật SHTT chỉ quy định mang tính nguyên tắc về trách nhiệm quản lý nhà nước về SHTT. Trách nhiệm cụ thể Bộ, ngành và Ủy ban nhân dân các tỉnh, thành phố trực thuộc trung ương về quản lý nhà nước về SHTT (và bao gồm cả quản lý nhà nước trong từng lĩnh vực như SHCN, quyền tác giả, quyền liên quan, quyền đối với giống cây trồng) đã được quy định chi tiết tại Nghị định số 17/2023/NĐ-CP, Nghị định số 65/2023/NĐ-CP, Nghị định số 79/2023/NĐ-CP.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Sửa đổi, bổ sung một số điểm, khoản của Điều 97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hiện thiết kế toàn bộ việc ghi nhận chuyển nhượng qua Điều 97 có tên “Sửa đổi văn bằng bảo hộ”. Về thủ tục, việc hợp nhất vào một thủ tục là hợp lý.</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Nhưng về bản chất pháp lý, hai việc khác nhau: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Sửa tên, địa chỉ hoặc sửa thiếu sót là vẫn duy trì đăng bạ của chính chủ thể quyền tài sản đó;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Chuyển nhượng là thay đổi chủ thể của một quyền tài sản.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Theo chính Bản thuyết minh của Ban soạn thảo, cơ quan nhà nước vẫn phải kiểm tra tính hợp lệ của chuyển dịch, trong đó có hình thức hợp đồng và các điều kiện hạn chế chuyển nhượng.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nếu cùng xử lý tại Điều 97 thì nên thể hiện rõ rằng đây không chỉ là sửa thông tin kỹ thuật trên văn bằng.</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đổi tên Điều 97 thành: </w:t>
            </w:r>
            <w:r>
              <w:rPr>
                <w:rFonts w:ascii="Times New Roman" w:eastAsia="Times New Roman" w:hAnsi="Times New Roman" w:cs="Times New Roman"/>
                <w:b/>
                <w:bCs/>
                <w:i/>
                <w:iCs/>
                <w:sz w:val="24"/>
                <w:szCs w:val="24"/>
                <w:u w:val="single"/>
              </w:rPr>
              <w:t>“Sửa đổi văn bằng bảo hộ và ghi nhận thay đổi chủ sở hữu”.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Cách này không làm phình thủ tục nhưng phản ánh đúng hai chức năng pháp lý khác nhau.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Ngoài ra, đề nghị Ban soạn thảo lượng hóa mức độ đơn giản hóa thực tế:</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Thành phần hồ sơ nào được cắt;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Bước thẩm định nào được bỏ;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Phí/lệ phí nào được giảm;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Thời gian xử lý dự kiến giảm bao nhiêu.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vẫn phải nộp cùng tài liệu chuyển nhượng, vẫn kiểm tra cùng Điều 139, vẫn chờ quyết định ghi nhận và thời gian/chi phí gần tương đương, thì cải cách chủ yếu mới là hợp nhất tên và đầu mối thủ tục, chưa phải cắt giảm thực chất.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Một trong các thông tin của VBBH đó là thông tin về chủ sở hữu. Thông tin này có thể thay đổi do các sự kiện pháp lý xảy ra, ví dụ như chủ VBBH thay đổi tên; chủ VBBH chuyển dịch quyền sở hữu cho người khác, ví dụ như thừa kế, kế thừa, sát nhập, liên doanh, liên kết,…trong đó bao gồm việc chuyển nhượng quyền SHCN cho chủ thể khác.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Như vậy, dự thảo sửa đổi Điều 97 (bổ sung khoản 1a) để làm rõ việc thay đổi thông tin chủ VBBH do chuyển nhượng quyền SHCN. Việc bóc tách giữa sửa đổi VBBH và “ghi nhận thay đổi chủ sở hữu” là không cần thiết do thông tin chủ sở hữu cũng là một trong thông tin của VBBH. Ngoài ra, theo đó, điểm B.VI Phụ lục I.3 của Nghị quyết 66.18/2026/NQ-CP quy định về việc bãi bỏ thủ tục đăng ký HĐ chuyển nhượng quyền sở hữu. Và điểm B.III.2 Phụ lục I.3 của Nghị quyết 66.18/2026/NQ-CP quy định bổ sung việc sửa đổi văn bằng bảo hộ do chuyển dịch quyền do chuyển nhượng quyền sở hữu. Vì vậy, việc sửa như ý kiến đề xuất có thể dẫn đến cách hiểu vẫn còn có (hoặc phát sinh một thủ tục) ghi nhận chuyển nhượng thông qua thủ tục sửa đổi (trong khi bản chất quy định là thủ tục sửa đổi VBBH)</w:t>
            </w:r>
          </w:p>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Ngãi</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Để bảo đảm tính rõ ràng, thống nhất và hạn chế tranh chấp trong thực tiễn, đề nghị cơ quan soạn thảo nghiên cứu làm rõ một số nội dung sau: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Làm rõ việc giảm bớt hàng hóa, dịch vụ hoặc nhóm hàng hóa, dịch vụ trong văn bằng bảo hộ có được thực hiện độc lập với thủ tục chuyển nhượng quyền sở hữu công nghiệp hay không, và trình tự, thủ tục tương ứng trong từng trường hợp;</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Trường hợp chuyển nhượng một phần danh mục hàng hóa, dịch vụ, cần quy định rõ quyền và nghĩa vụ của bên chuyển nhượng, bên nhận chuyển nhượng cũng như phạm vi quyền tương ứng của mỗi bên sau khi giao dịch được ghi nhận;</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Làm rõ cách thức xử lý trong trường hợp danh mục hàng hóa, dịch vụ dự kiến giảm hoặc chuyển nhượng đang là đối tượng của tranh chấp, biện pháp ngăn chặn, bảo đảm thực hiện nghĩa vụ hoặc có quyền, lợi ích hợp pháp của bên thứ ba liên quan;</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Nghiên cứu quy định về việc cập nhật, ghi nhận và công khai thông tin sau khi giảm danh mục hàng hóa, dịch vụ hoặc chuyển nhượng một phần danh mục nhằm bảo đảm tính minh bạch và khả năng tra cứu của tổ chức, cá nhân có liên quan.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Dự thảo Luật đã bải bỏ thủ tục đăng ký hợp đồng chuyển nhượng quy định tại khoản 1 Điều 148 và Điều 150 của Luật SHTT. Theo đó, dự thảo Luật sửa đổi Điều 97 theo hướng: trên cơ sở chuyển nhượng quyền SHCN, các thông tin về chủ sở hữu (hay là chủ VBBH), thông tin về danh mục hàng hóa, dịch vụ mang nhãn hiệu (trong trường hợp chuyển nhượng một phần danh mục mang nhãn hiệu) sẽ thay đổi theo. Các thông tin này là các thông tin thuộc VBBH, do đó khi có sự thay đổi, chủ VBBH hoặc bên nhận chuyển nhượng sẽ làm thủ tục sửa đổi VBBH để ghi nhận các thông tin mới nay (tương tư như ghi nhận sửa đổi các thông tin khác ví dụ như tên, địa chỉ tác giả, tên địa chỉ chủ VBBH,…).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Việc chuyển nhượng quyền SHCN là quan hệ dân sự giữa các bên, theo đó quyền và nghĩa vụ, điều kiện chuyển nhượng,… do các bên thỏa thuận, phù hợp với quy định pháp luật có liên quan.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Cũng cần lưu ý, việc bãi bỏ thủ tục đăng ký hợp đồng chuyển nhượng quyền SHCN không làm loại bỏ các quy định về điều kiện hạn chế việc chuyển nhượng quyền SHCN tại Điều 139 của Luật SHTT (ví dụ như việc chuyển nhượng quyền đối với nhãn hiệu không được gây ra sự nhầm lẫn về đặc tính, nguồn gốc của hàng hóa, dịch vụ mang nhãn hiệu,…).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Theo quy định tại Điều 99 của Luật SHTT quyết định sửa đổi VBBH được công bố trên Công báo SHCN, do đó các thông tin liên quan đến sửa đổi VBBH (bao gồm danh mục hàng hóa, dịch vụ) sẽ được công bố công khai.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Thanh Hoá</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làm rõ trình tự, thủ tục, thời điểm phát sinh hiệu lực và hậu quả pháp lý của việc giảm bớt hàng hóa, dịch vụ, nhất là trường hợp danh mục hàng hóa, dịch vụ đã được giảm bớt nhưng chủ thể có nhu cầu đăng ký lại hoặc mở rộng phạm vi bảo hộ.</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đề nghị nghiên cứu quy định cụ thể việc giảm bớt hàng hóa, dịch vụ đối với nhãn hiệu tập thể, nhãn hiệu chứng nhận, bởi đây là những đối tượng có phương thức quản lý và sử dụng đặc thù, liên quan đến quy chế sử dụng, quy chế quản lý và quyền lợi của nhiều tổ chức, cá nhân.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Trình tự, thủ tục sửa đổi VBBH đã được quy định tại Điều 110 của Thông tư số 10/2026/TT-BKHCN (sửa đổi, bổ sung bởi Thông tư số 20/2026/TT-BKHCN). Việc sửa đổi, bổ sung theo hướng giảm bớt danh mục hàng hóa do chuyển nhượng một phần danh mục hàng hóa, dịch vụ mang nhãn hiệu xuất phát từ yêu cầu của người nộp đơn, trên cơ sở sự kiện pháp lý là có sự chuyển nhượng quyền SHCN đối với nhãn hiệu. Đối với giấy chứng nhận đăng ký nhãn hiệu (của bên chuyển nhượng) đã được sửa đổi theo hướng giảm bớt danh mục (cắt đi phần danh mục đã chuyển nhượng), chủ VBBH không thể đăng ký sửa lại hoặc mở rộng thêm danh mục này của VBBH theo quy định tại khoản 3 Điều 97 của Luật SHTT. Ngoài ra, quy định về việc giảm bớt áp dụng cho các loại nhãn hiệu (bao gồm nhãn hiệu thông thường, tập thể, chứng nhận).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 nhận thấy mục 2.B.III của Phụ lục I.3 Nghị quyết 66.18/2026/NQ-CP về phân quyền cắt giảm, đơn giản hoá thủ tục hành chính (TTHC), điều kiện kinh doanh không quy định về quyền yêu cầu thay đổi thông tin của bên nhận chuyển nhượng quyền sở hữu công nghiệp. Do đó, đề nghị cơ quan chủ trì soạn thảo bổ sung thuyết minh, giải trình về việc bổ sung khoản 1a Điều 97, trong đó, có đánh giá về việc bổ sung quy định này có làm phát sinh thêm TTHC, quy trình cho bên nhận chuyển nhượng không.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97 của Luật SHTT và Điều 110 của Thông tư số 10/2026/TT-BKHCN (trước khi được sửa đổi, bổ sung bởi Thông tư só 20/2026/TT-BKHCN), việc sửa đổi VBBH liên quan đến thông tin của chủ sở hữu (chủ VBBH) xảy ra trong 2 trường hơp: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Chủ VBBH thay đổi tên, địa chỉ (vẫn giữ nguyên quyền sở hữu);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Thay đổi chủ VBBH mới do chuyển dịch quyền sở hữu (liên quan đến thừa kế, kế thừa, sát nhập, hợp nhất, chia, tách...), không bao gồm trường hợp thay đổi chủ sở hữu do chuyển nhượng quyền SHCN (do thực hiện ở thủ tục đăng ký hợp đồng chuyển nhượng).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đó, điểm B.VI Phụ lục I.3 của Nghị quyết 66.18/2026/NQ-CP quy định về việc bãi bỏ thủ tục đăng ký HĐ chuyển nhượng quyền sở hữu. Và điểm B.III.2 Phụ lục I.3 của Nghị quyết 66.18/2026/NQ-CP quy định bổ sung việc sửa đổi văn bằng bảo hộ do chuyển dịch quyền do chuyển nhượng quyền sở hữu.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Vì vậy, bổ sung khoản 1a sau khoản 1 Điều 97, theo đó bổ sung trường hợp sửa đổi thông tin VBBH do chuyển nhượng quyền sở hữu công nghiệp và làm rõ chủ thể có quyền yêu cầu thay đổi thông tin bao gồm bên chuyển nhượng và bên nhận chuyển nhượng. Việc bổ sung này không làm phát sinh TTHC mới, do vẫn thuộc TTHC quan đến sửa đổi VBBH.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về sửa đổi VBBH và chuyển nhượng quyền SHCN (Điều 97, 138, 148, 150)</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Ban soạn thảo: quy định rõ điều khoản chuyển tiếp đối với các hồ sơ đăng ký hợp đồng chuyển nhượng quyền SHCN đã nộp theo thủ tục cũ nhưng chưa xử lý xong tại thời điểm Luật có hiệu lực.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Bổ sung điểm c vào sau điểm b khoản 1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rPr>
          <w:cantSplit/>
          <w:trHeight w:val="3007"/>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b/>
                <w:bCs/>
                <w:i/>
                <w:iCs/>
                <w:sz w:val="24"/>
                <w:szCs w:val="24"/>
              </w:rPr>
              <w:t>c) Giảm bớt hàng hóa, dịch vụ hoặc nhóm hàng hóa, dịch vụ thuộc danh mục hàng hóa, dịch vụ ghi trong Giấy chứng nhận đăng ký nhãn hiệu.”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Cần tách rõ hai trường hợp </w:t>
            </w:r>
            <w:r>
              <w:rPr>
                <w:rFonts w:ascii="Times New Roman" w:eastAsia="Times New Roman" w:hAnsi="Times New Roman" w:cs="Times New Roman"/>
                <w:b/>
                <w:bCs/>
                <w:i/>
                <w:iCs/>
                <w:sz w:val="24"/>
                <w:szCs w:val="24"/>
              </w:rPr>
              <w:t>“giảm danh mục”.</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Giảm danh mục do chủ văn bằng tự thu hẹp/từ bỏ quyền làm phần quyền đó chấm dứt; còn giảm danh mục của bên chuyển nhượng do chuyển nhượng một phần chỉ là hệ quả đăng bạ vì phần quyền đó tiếp tục tồn tại dưới tên chủ mới.</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bỏ  đề xuất bổ sung điểm c khoản 1 và chỉnh lý khoản 1a tại dự thảo Luật như sau:</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“1a. Bên nhận chuyển nhượng quyền sở hữu công nghiệp hoặc bên chuyển nhượng (là chủ văn bằng bảo hộ) có quyền yêu cầu sửa đổi những thông tin sau đây trên văn bằng bảo hộ với điều kiện phải nộp phí, lệ phí:</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 Thay đổi thông tin về chủ văn bằng bảo hộ do chuyển nhượng quyền sở hữu công nghiệp;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b) Thay đổi thông tin danh mục hàng hóa, dịch vụ ghi trong Giấy chứng nhận đăng ký nhãn hiệu của bên chuyển nhượng do chuyển nhượng một phần danh mục hàng hóa, dịch vụ.”</w:t>
            </w:r>
            <w:r>
              <w:rPr>
                <w:rFonts w:ascii="Times New Roman" w:eastAsia="Times New Roman" w:hAnsi="Times New Roman" w:cs="Times New Roman"/>
                <w:sz w:val="24"/>
                <w:szCs w:val="24"/>
              </w:rPr>
              <w:t xml:space="preserve"> </w:t>
            </w:r>
          </w:p>
        </w:tc>
      </w:tr>
      <w:tr>
        <w:trPr>
          <w:trHeight w:val="4679"/>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bổ sung cơ chế giảm hàng hóa, dịch vụ và thay đổi thông tin chủ văn bằng khi chuyển nhượng một phần quyền nhưng chưa gắn chặt với phạm vi quyền được chuyển nhượng.</w:t>
            </w:r>
          </w:p>
          <w:p>
            <w:pPr>
              <w:shd w:val="clear" w:color="auto" w:fill="FFFFFF"/>
              <w:spacing w:before="40" w:after="40" w:line="240" w:lineRule="auto"/>
              <w:ind w:right="11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Bổ sung quy định: </w:t>
            </w:r>
            <w:r>
              <w:rPr>
                <w:rFonts w:ascii="Times New Roman" w:eastAsia="Times New Roman" w:hAnsi="Times New Roman" w:cs="Times New Roman"/>
                <w:b/>
                <w:bCs/>
                <w:i/>
                <w:iCs/>
                <w:sz w:val="24"/>
                <w:szCs w:val="24"/>
                <w:u w:val="single"/>
              </w:rPr>
              <w:t>“Việc giảm hàng hóa, dịch vụ hoặc nhóm hàng hóa, dịch vụ chỉ được thực hiện trong phạm vi tương ứng với phần quyền sở hữu công nghiệp được chuyển nhượng theo hợp đồng.”</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Tránh tình trạng hợp đồng chuyển nhượng một phần nhưng văn bằng bị thay đổi vượt quá phạm vi chuyển giao</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472"/>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Tây Ninh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làm rõ:</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Việc giảm hàng hóa, dịch vụ có làm thay đổi phạm vi bảo hộ kể từ thời điểm nào;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Nếu giảm một phần danh mục thì phạm vi quyền đối với phần bị loại bỏ chấm dứt từ thời điểm ghi nhận hay từ thời điểm nộp yêu cầu;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Trường hợp quyền đối với nhãn hiệu đang được chuyển nhượng, cấp phép sử dụng hoặc đang tranh chấp thì có được giảm hay không.</w:t>
            </w:r>
          </w:p>
        </w:tc>
        <w:tc>
          <w:tcPr>
            <w:tcW w:w="4253" w:type="dxa"/>
          </w:tcPr>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Việc giảm hàng hóa, dịch vụ hoặc một phần danh mục sẽ làm “thu hẹp” phạm vi bảo hộ của chủ VBBH (là bên chuyển nhượng), và sẽ có hiệu lực pháp lý kể từ thời điểm yêu cầu sửa đổi VBBH được cơ quan có thẩm quyền ghi nhận (ra quyết định sửa đổi VBBH). </w:t>
            </w:r>
          </w:p>
        </w:tc>
      </w:tr>
      <w:tr>
        <w:trPr>
          <w:trHeight w:val="472"/>
        </w:trP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Bổ sung khoản 1a vào sau khoản 1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26"/>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“1a. Bên nhận chuyển nhượng quyền sở hữu công nghiệp có quyền yêu cầu thay đổi thông tin về chủ văn bằng bảo hộ, giảm bớt hàng hóa, dịch vụ hoặc nhóm hàng hóa, dịch vụ thuộc danh mục hàng hóa, dịch vụ ghi trong Giấy chứng nhận đăng ký nhãn hiệu của bên chuyển nhượng.”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làm rõ thêm như sau:</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1a. Bên nhận chuyển nhượng quyền sở hữu công nghiệp có quyền yêu cầu thay đổi thông tin về chủ văn bằng bảo hộ, giảm bớt hàng hóa, dịch vụ hoặc nhóm hàng hóa, dịch vụ thuộc danh mục hàng hóa, dịch vụ ghi trong Giấy chứng nhận đăng ký nhãn hiệu của bên chuyển nhượng. </w:t>
            </w:r>
            <w:r>
              <w:rPr>
                <w:rFonts w:ascii="Times New Roman" w:eastAsia="Times New Roman" w:hAnsi="Times New Roman" w:cs="Times New Roman"/>
                <w:b/>
                <w:bCs/>
                <w:i/>
                <w:iCs/>
                <w:sz w:val="24"/>
                <w:szCs w:val="24"/>
                <w:u w:val="single"/>
              </w:rPr>
              <w:t>Hồ sơ yêu cầu phải kèm theo hợp đồng chuyển nhượng đã được ký kết hợp lệ hoặc bản trích lục hợp đồng có xác nhận của các bên.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bổ sung điểm c khoản 1 và khoản 1a là hợp lý, tạo cơ sở pháp lý cho việc ghi nhận chuyển nhượng một phần danh mục hàng hóa, dịch vụ thông qua thủ tục sửa đổi văn bằng bảo hộ.</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cần làm rõ ai là người có quyền nộp hồ sơ (bên chuyển nhượng, bên nhận chuyển nhượng, hay cả hai) và tài liệu bắt buộc kèm theo.</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cho phép nộp bản trích lục hợp đồng (thay vì toàn văn) cũng bảo vệ bí mật kinh doanh của các bên về giá chuyển nhượng và các điều khoản thương mại.</w:t>
            </w:r>
          </w:p>
        </w:tc>
        <w:tc>
          <w:tcPr>
            <w:tcW w:w="4253" w:type="dxa"/>
          </w:tcPr>
          <w:p>
            <w:pPr>
              <w:shd w:val="clear" w:color="auto" w:fill="FFFFFF"/>
              <w:spacing w:before="40" w:after="40" w:line="240" w:lineRule="auto"/>
              <w:ind w:right="168"/>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16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Quy định cụ thể về thành phần hồ sơ để thực hiện yêu cầu sửa đổi VBBH đã được quy định chi tiết tại Thông tư 10/2026/TT-BKHCN (theo quy định tại khoản 4 Điều 97 của Luật SHTT). Do đó, không quy định thành phần hồ sơ thực hiện thủ tục sửa đổi VBBH tại Luật.</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Tờ trình xác định rõ việc bổ sung Điều 97 nhằm xử lý chuyển nhượng một phần danh mục hàng hóa, dịch vụ của nhãn hiệu.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hiện cho bên nhận chuyển nhượng quyền yêu cầu:</w:t>
            </w:r>
          </w:p>
          <w:p>
            <w:pPr>
              <w:shd w:val="clear" w:color="auto" w:fill="FFFFFF"/>
              <w:spacing w:before="40" w:after="40" w:line="240" w:lineRule="auto"/>
              <w:ind w:right="11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“giảm bớt hàng hóa, dịch vụ hoặc nhóm hàng hóa, dịch vụ… trong Giấy chứng nhận đăng ký nhãn hiệu của bên chuyển nhượng”.</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chúng tôi, cách diễn đạt này chưa phản ánh đúng bản chất.</w:t>
            </w:r>
          </w:p>
          <w:p>
            <w:pPr>
              <w:shd w:val="clear" w:color="auto" w:fill="FFFFFF"/>
              <w:spacing w:before="40" w:after="40" w:line="240" w:lineRule="auto"/>
              <w:ind w:right="114"/>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1. Cần phân biệt rõ chuyển nhượng một phần với việc tự nguyện từ bỏ/chấm dứt quyền</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Giả sử X sở hữu nhãn hiệu A cho: Mỹ phẩm; Xà phòng; Nước hoa.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X chuyển nhượng cho Y quyền đối với mỹ phẩm.</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Hậu quả phải là:</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Quyền đối với “mỹ phẩm” không chấm dứt;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Quyền đó tiếp tục tồn tại, giữ ngày nộp đơn, ngày ưu tiên và thời hạn gốc;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Chủ sở hữu thay đổi từ X sang Y;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X còn quyền đối với “xà phòng” và “nước hoa”.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Ngược lại, nếu X tự nguyện từ bỏ quyền đối với “mỹ phẩm” theo cơ chế chấm dứt hiệu lực, quyền đối với phần đó biến mất, không chuyển sang chủ thể nào khác.</w:t>
            </w:r>
          </w:p>
          <w:p>
            <w:pPr>
              <w:shd w:val="clear" w:color="auto" w:fill="FFFFFF"/>
              <w:spacing w:before="40" w:after="40" w:line="240" w:lineRule="auto"/>
              <w:ind w:right="114"/>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Vì vậy: Chuyển nhượng từng phần là tách quyền; từ bỏ có nghĩa chấm dứt quyền.</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Hai cơ chế không nên được thể hiện trên đăng bạ bằng cùng một logic “giảm danh mục”.</w:t>
            </w:r>
          </w:p>
          <w:p>
            <w:pPr>
              <w:shd w:val="clear" w:color="auto" w:fill="FFFFFF"/>
              <w:spacing w:before="40" w:after="40" w:line="240" w:lineRule="auto"/>
              <w:ind w:right="114"/>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2. Nguy cơ thực tiễn nếu diễn đạt hiện tại được giữ</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chỉ ghi “bên nhận có quyền giảm danh mục của bên chuyển nhượng”, có thể phát sinh các câu hỏi:</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Quyền của Y được ghi nhận dưới số đăng ký nào?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Y có được cấp văn bằng riêng không?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Lịch sử chain of title thể hiện thế nào?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Ngày ưu tiên và thời hạn bảo hộ của phần được chuyển có được giữ nguyên không?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Nếu sau này có yêu cầu chấm dứt do không sử dụng đối với phần của Y, cơ quan sẽ xác định đối tượng yêu cầu như thế nào?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Nếu X hoặc Y chuyển nhượng tiếp, đăng bạ có truy nguyên được quyền từ đăng ký ban đầu không?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Đối với một hệ thống SHTT ngày càng phục vụ M&amp;A, li-xăng và thực thi, chuỗi quyền phải được bảo đảm liên tục và truy nguyên được.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sửa khoản 1a:</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“1a. Trường hợp quyền đối với nhãn hiệu được chuyển nhượng đối với một phần hàng hóa, dịch vụ, bên nhận chuyển nhượng có quyền yêu cầu ghi nhận mình là chủ sở hữu đối với phần hàng hóa, dịch vụ được chuyển nhượng. Cơ quan quản lý nhà nước về quyền sở hữu công nghiệp đồng thời điều chỉnh tương ứng danh mục hàng hóa, dịch vụ còn thuộc quyền của bên chuyển nhượng.”</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Bổ sung: </w:t>
            </w:r>
            <w:r>
              <w:rPr>
                <w:rFonts w:ascii="Times New Roman" w:eastAsia="Times New Roman" w:hAnsi="Times New Roman" w:cs="Times New Roman"/>
                <w:b/>
                <w:bCs/>
                <w:i/>
                <w:iCs/>
                <w:sz w:val="24"/>
                <w:szCs w:val="24"/>
                <w:u w:val="single"/>
              </w:rPr>
              <w:t>“Việc điều chỉnh danh mục trong trường hợp này là hệ quả của việc chuyển quyền sở hữu và không được coi là việc từ bỏ hoặc chấm dứt quyền đối với phần hàng hóa, dịch vụ được chuyển nhượng. Việc ghi nhận phải đáp ứng Điều 139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giữ Điều 139 là cần thiết vì chuyển nhượng một phần có thể dẫn đến một nhãn hiệu được nắm giữ bởi hai chủ sở hữu trên các danh mục gần nhau, làm phát sinh nguy cơ gây nhầm lẫn về nguồn gốc thương mại. Cần bảo đảm chuỗi chuyển quyền sở hữu truy nguyên được: chủ cũ/chủ mới, phạm vi hàng hóa-dịch vụ, ngày hiệu lực, ngày ưu tiên và thời hạn bảo hộ của phần được chuyển.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và chỉnh lý khoản 1a như sau để rõ ràng hơn:</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“1a. Bên nhận chuyển nhượng quyền sở hữu công nghiệp hoặc bên chuyển nhượng (là chủ văn bằng bảo hộ) có quyền yêu cầu sửa đổi những thông tin sau đây trên văn bằng bảo hộ với điều kiện phải nộp phí, lệ phí:</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 Thay đổi thông tin về chủ văn bằng bảo hộ do chuyển nhượng quyền sở hữu công nghiệp;</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b) Thay đổi thông tin danh mục hàng hóa, dịch vụ ghi trong Giấy chứng nhận đăng ký nhãn hiệu của bên chuyển nhượng do chuyển nhượng một phần danh mục hàng hóa, dịch vụ.” </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Như vậy với cách chỉnh lý như trên, đã làm rõ cơ chế pháp lý giữa giảm bớt hàng hóa, dịch vụ, nhóm hàng hóa, dịch vụ trong các trường hợp:</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Chuyển nhượng một phần quyền SHCN đối với nhãn hiệu (khoản 1a Điều 97);</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Thu hẹp phạm vi bảo hộ (khoản 3 Điều 97);</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Tuyên bố từ bỏ quyền (điểm b khoản 1 Điều 95). </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 Công ty Luật TNHH Quốc tế BMVN</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Tại dự thảo Bản so sánh/Báo cáo rà soát các chủ trương, đường lối của Đảng, văn bản quy phạm pháp luật, điều ước quốc tế có liên quan, nội dung tương ứng được thể hiện thêm cụm từ </w:t>
            </w:r>
            <w:r>
              <w:rPr>
                <w:rFonts w:ascii="Times New Roman" w:eastAsia="Times New Roman" w:hAnsi="Times New Roman" w:cs="Times New Roman"/>
                <w:b/>
                <w:bCs/>
                <w:i/>
                <w:iCs/>
                <w:sz w:val="24"/>
                <w:szCs w:val="24"/>
                <w:u w:val="single"/>
              </w:rPr>
              <w:t>“với điều kiện phải nộp phí, lệ phí”.</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rà soát, thống nhất nội dung quy định về nghĩa vụ phí, lệ phí khi bên nhận chuyển nhượng thực hiện yêu cầu sửa đổi văn bằng bảo hộ, bảo đảm thống nhất giữa dự thảo Luật và các tài liệu trong Hồ sơ dự án Luật.</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chỉnh lý nội dung để thống nhất giữa dự thảo Luật và các tài liệu của Hồ sơ dự án Luật. </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Cần Thơ</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thời điểm áp dụng và điều chỉnh như sau:</w:t>
            </w:r>
          </w:p>
          <w:p>
            <w:pPr>
              <w:shd w:val="clear" w:color="auto" w:fill="FFFFFF"/>
              <w:spacing w:before="40" w:after="40" w:line="240" w:lineRule="auto"/>
              <w:ind w:right="114"/>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“1a. Bên nhận chuyển nhượng quyền sở hữu công nghiệp có quyền yêu cầu thay đổi thông tin về chủ văn bằng bảo hộ, giảm bớt hàng hóa, dịch vụ hoặc nhóm hàng hóa, dịch vụ thuộc danh mục hàng hóa, dịch vụ ghi trong Giấy chứng nhận đăng ký nhãn hiệu của bên chuyển nhượng </w:t>
            </w:r>
            <w:r>
              <w:rPr>
                <w:rFonts w:ascii="Times New Roman" w:eastAsia="Times New Roman" w:hAnsi="Times New Roman" w:cs="Times New Roman"/>
                <w:b/>
                <w:bCs/>
                <w:i/>
                <w:iCs/>
                <w:sz w:val="24"/>
                <w:szCs w:val="24"/>
                <w:u w:val="single"/>
              </w:rPr>
              <w:t>sau khi việc chuyển nhượng được cơ quan quản lý nhà nước về quyền sở hữu công nghiệp ghi nhận vào văn bằng bảo hộ</w:t>
            </w:r>
            <w:r>
              <w:rPr>
                <w:rFonts w:ascii="Times New Roman" w:eastAsia="Times New Roman" w:hAnsi="Times New Roman" w:cs="Times New Roman"/>
                <w:i/>
                <w:iCs/>
                <w:sz w:val="24"/>
                <w:szCs w:val="24"/>
              </w:rPr>
              <w:t>.”</w:t>
            </w:r>
          </w:p>
        </w:tc>
        <w:tc>
          <w:tcPr>
            <w:tcW w:w="4253" w:type="dxa"/>
          </w:tcPr>
          <w:p>
            <w:pPr>
              <w:shd w:val="clear" w:color="auto" w:fill="FFFFFF"/>
              <w:tabs>
                <w:tab w:val="left" w:pos="3994"/>
              </w:tabs>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tabs>
                <w:tab w:val="left" w:pos="3994"/>
              </w:tabs>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Điểm B.VI Phụ lục I.3 của Nghị quyết 66.18/2026/NQ-CP quy định về việc bãi bỏ thủ tục đăng ký HĐ chuyển nhượng quyền sở hữu. Và điểm B.III.2 Phụ lục I.3 của Nghị quyết 66.18/2026/NQ-CP quy định bổ sung việc sửa đổi văn bẳng bảo hộ do chuyển dịch quyền do chuyển nhượng quyền sở hữu. Do đó việc bổ sung như đề xuất sẽ dẫn đến cách hiểu còn thủ tục ghi nhận chuyển nhượng quyền SHCN trong khi còn thủ tục ghi nhận này theo Nghị quyết số 66.18/2026/NQ-CP. </w:t>
            </w: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OPIC và Cộng sự</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Dự thảo quy định rõ nguyên tắc về quyền của bên nhận chuyển nhượng trong việc yêu cầu ghi nhận thay đổi, đặc biệt trong trường hợp bên chuyển nhượng không phối hợp thực hiện thủ tục.</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và chỉnh lý khoản 1a như sau để rõ ràng hơn trong yêu cầu và phạm vi sửa đổi VBBH:</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“1a. Bên nhận chuyển nhượng quyền sở hữu công nghiệp hoặc bên chuyển nhượng (là chủ văn bằng bảo hộ) có quyền yêu cầu sửa đổi những thông tin sau đây trên văn bằng bảo hộ với điều kiện phải nộp phí, lệ phí:</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 Thay đổi thông tin về chủ văn bằng bảo hộ do chuyển nhượng quyền sở hữu công nghiệp;</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b) Thay đổi thông tin danh mục hàng hóa, dịch vụ ghi trong Giấy chứng nhận đăng ký nhãn hiệu của bên chuyển nhượng do chuyển nhượng một phần danh mục hàng hóa, dịch vụ.” </w:t>
            </w:r>
          </w:p>
          <w:p>
            <w:pPr>
              <w:shd w:val="clear" w:color="auto" w:fill="FFFFFF"/>
              <w:spacing w:before="40" w:after="40" w:line="240" w:lineRule="auto"/>
              <w:ind w:right="142"/>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quy định việc sửa đổi văn bằng phải phù hợp với phạm vi chuyển nhượng. bảo đảm thống nhất giữa hợp đồng – phạm vi quyền – nội dung văn bằng.</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xuất quy định rõ hơn trong Luật SHTT hoặc văn bản hướng dẫn thi hành theo hướng cụ thể hóa thủ tục này </w:t>
            </w:r>
          </w:p>
          <w:p>
            <w:pPr>
              <w:shd w:val="clear" w:color="auto" w:fill="FFFFFF"/>
              <w:spacing w:before="40" w:after="40"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“Bên nhận chuyển nhượng quyền sở hữu công nghiệp có quyền yêu cầu thay đổi thông tin về chủ văn bằng bảo hộ </w:t>
            </w:r>
            <w:r>
              <w:rPr>
                <w:rFonts w:ascii="Times New Roman" w:eastAsia="Times New Roman" w:hAnsi="Times New Roman" w:cs="Times New Roman"/>
                <w:b/>
                <w:bCs/>
                <w:i/>
                <w:iCs/>
                <w:sz w:val="24"/>
                <w:szCs w:val="24"/>
                <w:u w:val="single"/>
              </w:rPr>
              <w:t>(trong trường hợp chuyển nhượng toàn bộ danh mục hàng hóa, dịch vụ ghi trong Giấy chứng nhận đăng ký nhãn hiệu)</w:t>
            </w:r>
            <w:r>
              <w:rPr>
                <w:rFonts w:ascii="Times New Roman" w:eastAsia="Times New Roman" w:hAnsi="Times New Roman" w:cs="Times New Roman"/>
                <w:i/>
                <w:iCs/>
                <w:sz w:val="24"/>
                <w:szCs w:val="24"/>
                <w:u w:val="single"/>
              </w:rPr>
              <w:t xml:space="preserve"> </w:t>
            </w:r>
            <w:r>
              <w:rPr>
                <w:rFonts w:ascii="Times New Roman" w:eastAsia="Times New Roman" w:hAnsi="Times New Roman" w:cs="Times New Roman"/>
                <w:b/>
                <w:bCs/>
                <w:i/>
                <w:iCs/>
                <w:sz w:val="24"/>
                <w:szCs w:val="24"/>
                <w:u w:val="single"/>
              </w:rPr>
              <w:t>hoặc</w:t>
            </w:r>
            <w:r>
              <w:rPr>
                <w:rFonts w:ascii="Times New Roman" w:eastAsia="Times New Roman" w:hAnsi="Times New Roman" w:cs="Times New Roman"/>
                <w:i/>
                <w:iCs/>
                <w:sz w:val="24"/>
                <w:szCs w:val="24"/>
                <w:u w:val="single"/>
              </w:rPr>
              <w:t xml:space="preserve"> </w:t>
            </w:r>
            <w:r>
              <w:rPr>
                <w:rFonts w:ascii="Times New Roman" w:eastAsia="Times New Roman" w:hAnsi="Times New Roman" w:cs="Times New Roman"/>
                <w:b/>
                <w:bCs/>
                <w:i/>
                <w:iCs/>
                <w:sz w:val="24"/>
                <w:szCs w:val="24"/>
                <w:u w:val="single"/>
              </w:rPr>
              <w:t>thông tin về chủ văn bằng bảo hộ và đồng thời</w:t>
            </w:r>
            <w:r>
              <w:rPr>
                <w:rFonts w:ascii="Times New Roman" w:eastAsia="Times New Roman" w:hAnsi="Times New Roman" w:cs="Times New Roman"/>
                <w:b/>
                <w:bCs/>
                <w:i/>
                <w:iCs/>
                <w:sz w:val="24"/>
                <w:szCs w:val="24"/>
              </w:rPr>
              <w:t xml:space="preserve"> </w:t>
            </w:r>
            <w:r>
              <w:rPr>
                <w:rFonts w:ascii="Times New Roman" w:eastAsia="Times New Roman" w:hAnsi="Times New Roman" w:cs="Times New Roman"/>
                <w:i/>
                <w:iCs/>
                <w:sz w:val="24"/>
                <w:szCs w:val="24"/>
              </w:rPr>
              <w:t xml:space="preserve">giảm bớt hàng hóa, dịch vụ hoặc nhóm hàng hóa, dịch vụ thuộc danh mục hàng hóa, dịch vụ ghi trong Giấy chứng nhận đăng ký nhãn hiệu của bên chuyển nhượng </w:t>
            </w:r>
            <w:r>
              <w:rPr>
                <w:rFonts w:ascii="Times New Roman" w:eastAsia="Times New Roman" w:hAnsi="Times New Roman" w:cs="Times New Roman"/>
                <w:b/>
                <w:bCs/>
                <w:i/>
                <w:iCs/>
                <w:sz w:val="24"/>
                <w:szCs w:val="24"/>
                <w:u w:val="single"/>
              </w:rPr>
              <w:t>(trong trường hợp chuyển nhượng một phần danh mục hàng hóa, dịch vụ)</w:t>
            </w:r>
            <w:r>
              <w:rPr>
                <w:rFonts w:ascii="Times New Roman" w:eastAsia="Times New Roman" w:hAnsi="Times New Roman" w:cs="Times New Roman"/>
                <w:i/>
                <w:iCs/>
                <w:sz w:val="24"/>
                <w:szCs w:val="24"/>
                <w:u w:val="single"/>
              </w:rPr>
              <w:t>.”</w:t>
            </w:r>
          </w:p>
          <w:p>
            <w:pPr>
              <w:shd w:val="clear" w:color="auto" w:fill="FFFFFF"/>
              <w:spacing w:before="40" w:after="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nhằm bảo đảm tính thống nhất, cần có sửa đổi tương ứng đối với việc sửa đổi thông tin người nộp đơn trong trường hợp chuyển nhượng đơn đăng ký đang trong quá trình xác lập quyền.</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 </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Hội Sở hữu trí tuệ Việt Nam</w:t>
            </w:r>
          </w:p>
        </w:tc>
        <w:tc>
          <w:tcPr>
            <w:tcW w:w="5954" w:type="dxa"/>
          </w:tcPr>
          <w:p>
            <w:pPr>
              <w:shd w:val="clear" w:color="auto" w:fill="FFFFFF"/>
              <w:spacing w:before="40" w:after="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Khoản 1a Điều 97 cần được giải thích rõ ràng hơn ở văn bản dưới luật nhằm đảm bảo áp dụng thống nhất pháp luật.</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Sơn La</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nghiên cứu tách nội dung sửa đổi quy chế sử dụng nhãn hiệu tập thể, quy chế sử dụng nhãn hiệu chứng nhận khỏi trường hợp sửa đổi thông tin trên VBBH tại khoản 1 Điều 97.</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Quy chế sử dụng nhãn hiệu tập thể, nhãn hiệu chứng nhận là tài liệu của hồ sơ đăng ký được cơ quan QLNN về quyền SHCN xem xét trong quá trình thẩm định đơn, nhưng không phải là thông tin được thể hiện trên Giấy chứng nhận đăng ký nhãn hiệu (thông tin trên VBBH). Do đó, việc quy định sửa đổi Quy chế là trường hợp sửa đổi “thông tin trên văn bằng bảo hộ” chưa thực sự phù hợp về bản chất.</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Mặt khác, Quy chế bao gồm cả các nội dung có liên quan trực tiếp đến điều kiện bảo hộ và các nội dung phục vụ tổ chức, quản lý, kiểm soát việc sử dụng nhãn hiệu. Việc yêu cầu thực hiện thủ tục tại cơ quan quản lý nhà nước về quyền sở hữu công nghiệp đối với mọi sửa đổi của Quy chế có thể làm phát sinh thủ tục hành chính không cần thiết và hạn chế tính chủ động của chủ sở hữu trong quản lý, khai thác nhãn hiệu.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Vì vậy, đề nghị quy định theo hướng chủ sở hữu được chủ động sửa đổi, bổ sung Quy chế và chịu trách nhiệm bảo đảm phù hợp với quy định pháp luật; chỉ yêu cầu cơ quan quản lý nhà nước về quyền sở hữu công nghiệp thẩm định hoặc ghi nhận đối với những nội dung sửa đổi có ảnh hưởng đến điều kiện bảo hộ hoặc các nội dung cốt lõi đã được thẩm định khi xác lập quyền.</w:t>
            </w:r>
          </w:p>
        </w:tc>
        <w:tc>
          <w:tcPr>
            <w:tcW w:w="4253" w:type="dxa"/>
          </w:tcPr>
          <w:p>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r>
              <w:rPr>
                <w:rFonts w:ascii="Times New Roman" w:eastAsia="Times New Roman" w:hAnsi="Times New Roman" w:cs="Times New Roman"/>
                <w:sz w:val="24"/>
                <w:szCs w:val="24"/>
              </w:rPr>
              <w:br/>
              <w:t>Theo quy định tại Điều 92 của Luật SHTT, VBBH ghi nhận chủ sở hữu, đối tượng, phạm vi và thời hạn bảo hộ,...Theo quy định tại khoản 5, 6 Điều 69 của Thông tư 10/2026/TT-BKHN thì nội dung quy chế sử dụng nhãn hiệu tập thể, quy chế sử dụng nhãn hiệu chứng nhận bao gồm các thông tin về nhãn hiệu và hàng hóa, dịch vụ mang nhãn hiệu (tương đương với phạm vi bảo hộ), thông tin về tổ chức là chủ sở hữu nhãn hiệu,...). Vì vậy, quy định như hiện nay là phù hợp khi chủ sở hữu thực hiện việc sửa đổi quy chế sử dụng nhãn hiệu tập thể, nhãn hiệu chứng nhận.</w:t>
            </w: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Sơn La</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Bổ sung thêm người kế thừa hợp pháp của chủ văn bằng bảo hộ vào chủ thể có quyền yêu cầu sửa đổi văn bằng bảo hộ.</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Khoản 1 Điều 97 hiện quy định chủ văn bằng bảo hộ là chủ thể có quyền yêu cầu sửa đổi văn bằng bảo hộ. Tuy nhiên, thực tiễn phát sinh trường hợp chủ văn bằng bảo hộ chấm dứt tồn tại do sắp xếp tổ chức bộ máy, đơn vị hành chính, sáp nhập, hợp nhất hoặc các hình thức tổ chức lại khác và có tổ chức, cá nhân kế thừa hợp pháp quyền sở hữu công nghiệp (chủ sở hữu cũ không còn tồn tại).</w:t>
            </w:r>
          </w:p>
          <w:p>
            <w:pPr>
              <w:shd w:val="clear" w:color="auto" w:fill="FFFFFF"/>
              <w:spacing w:before="40" w:after="40" w:line="240" w:lineRule="auto"/>
              <w:ind w:right="11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Tại Điều 110 Thông tư số 10/2026/TT-BKHCN được sửa đổi, bổ sung tại Điều 12 Thông tư 20/2026/TT-BKHCN có quy định về yêu cầu sửa đổi thông tin trên văn bằng bảo hộ: </w:t>
            </w:r>
            <w:r>
              <w:rPr>
                <w:rFonts w:ascii="Times New Roman" w:eastAsia="Times New Roman" w:hAnsi="Times New Roman" w:cs="Times New Roman"/>
                <w:b/>
                <w:bCs/>
                <w:i/>
                <w:iCs/>
                <w:sz w:val="24"/>
                <w:szCs w:val="24"/>
                <w:u w:val="single"/>
              </w:rPr>
              <w:t>“Thay đổi chủ văn bằng bảo hộ (chuyển dịch quyền sở hữu do thừa kế, kế thừa, sáp nhập, chia, tách, hợp nhất, liên doanh, liên kết, thành lập pháp nhân mới của cùng chủ sở hữu, chuyển đổi hình thức kinh doanh hoặc theo quyết định của Tòa án hoặc của cơ quan có thẩm quyền khác; chuyển nhượng quyền sở hữu)”</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bổ sung quy định tạo cơ sở pháp lý rõ ràng cho người kế thừa thực hiện thủ tục sửa đổi văn bằng bảo hộ.</w:t>
            </w:r>
          </w:p>
        </w:tc>
        <w:tc>
          <w:tcPr>
            <w:tcW w:w="4253" w:type="dxa"/>
          </w:tcPr>
          <w:p>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kế thừa quyền của chủ sở hữu điều chỉnh bởi quy định về pháp luật dân sự (thừa kế, kế thừa) hoặc theo quy định của pháp luật về doanh nghiệp (về sát nhập, hợp nhất,...) hoặc theo quy định về sắp xếp, tổ chức bộ máy (ví dụ Nghị quyết 190/2025/QH15), do đó các pháp luật có liên quan đã có quy định về việc kế thừa quyền và nghĩa vụ của người kế thừa (hoặc tiếp nhận) quyền của chủ sở hữu. Vì vậy, Điều 97 luật SHTT quy định các chủ thể có liên quan trong phạm vi của Luật, tuy nhiên không làm hạn chế đi các quyền đã được ghi nhận cho chủ thể kế thừa (tiếp nhận) quyền của chủ sở hữu theo quy định pháp luật có liên quan.</w:t>
            </w:r>
          </w:p>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3. Bổ sung khoản 3 vào sau khoản 2 Điều 138 như sau</w:t>
            </w:r>
            <w:r>
              <w:rPr>
                <w:rFonts w:ascii="Times New Roman" w:eastAsia="Times New Roman" w:hAnsi="Times New Roman" w:cs="Times New Roman"/>
                <w:b/>
                <w:bCs/>
                <w:i/>
                <w:iCs/>
                <w:sz w:val="24"/>
                <w:szCs w:val="24"/>
              </w:rPr>
              <w:t xml:space="preserve"> </w:t>
            </w:r>
          </w:p>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“3. Đối với các loại quyền sở hữu công nghiệp được xác lập trên cơ sở đăng ký theo quy định tại điểm a khoản 3 Điều 6 của Luật này, việc chuyển nhượng quyền sở hữu công nghiệp có hiệu lực kể từ thời điểm thông tin thay đổi do chuyển nhượng được cơ quan quản lý nhà nước về quyền sở hữu công nghiệp ghi nhận vào văn bằng bảo hộ theo thủ tục quy định tại khoản 1 Điều 97 của Luật này.”</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Đề nghị sửa khoản 3 như sau:</w:t>
            </w:r>
          </w:p>
          <w:p>
            <w:pPr>
              <w:shd w:val="clear" w:color="auto" w:fill="FFFFFF"/>
              <w:tabs>
                <w:tab w:val="left" w:pos="3922"/>
              </w:tabs>
              <w:spacing w:before="40" w:after="40" w:line="240" w:lineRule="auto"/>
              <w:ind w:right="7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3. Đối với các loại quyền sở hữu công nghiệp được xác lập trên cơ sở đăng ký theo quy định tại điểm a khoản 3 Điều 6 của Luật này, </w:t>
            </w:r>
            <w:r>
              <w:rPr>
                <w:rFonts w:ascii="Times New Roman" w:eastAsia="Times New Roman" w:hAnsi="Times New Roman" w:cs="Times New Roman"/>
                <w:b/>
                <w:bCs/>
                <w:i/>
                <w:iCs/>
                <w:sz w:val="24"/>
                <w:szCs w:val="24"/>
                <w:u w:val="single"/>
              </w:rPr>
              <w:t xml:space="preserve">việc chuyển dịch quyền sở hữu công nghiệp từ bên chuyển nhượng sang bên nhận chuyển nhượng </w:t>
            </w:r>
            <w:r>
              <w:rPr>
                <w:rFonts w:ascii="Times New Roman" w:eastAsia="Times New Roman" w:hAnsi="Times New Roman" w:cs="Times New Roman"/>
                <w:sz w:val="24"/>
                <w:szCs w:val="24"/>
              </w:rPr>
              <w:t xml:space="preserve">có hiệu lực kể từ thời điểm thông tin thay đổi do chuyển nhượng được cơ quan quản lý nhà nước về quyền sở hữu công nghiệp ghi nhận vào văn bằng bảo hộ theo thủ tục quy định tại khoản 1 Điều 97 của Luật này. </w:t>
            </w:r>
            <w:r>
              <w:rPr>
                <w:rFonts w:ascii="Times New Roman" w:eastAsia="Times New Roman" w:hAnsi="Times New Roman" w:cs="Times New Roman"/>
                <w:b/>
                <w:bCs/>
                <w:i/>
                <w:iCs/>
                <w:sz w:val="24"/>
                <w:szCs w:val="24"/>
                <w:u w:val="single"/>
              </w:rPr>
              <w:t>Hiệu lực của việc chuyển dịch quyền sở hữu quy định tại khoản này không làm ảnh hưởng đến hiệu lực của hợp đồng chuyển nhượng quyền sở hữu công nghiệp giữa các bên theo quy định tại khoản 1 Điều 148 của Luật này.</w:t>
            </w:r>
          </w:p>
          <w:p>
            <w:pPr>
              <w:shd w:val="clear" w:color="auto" w:fill="FFFFFF"/>
              <w:tabs>
                <w:tab w:val="left" w:pos="3922"/>
              </w:tabs>
              <w:spacing w:before="40" w:after="40" w:line="240" w:lineRule="auto"/>
              <w:ind w:right="7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Chúng tôi nhất trí với định hướng của Ban soạn thảo là trả việc chuyển nhượng về đúng bản chất một hình thức chuyển dịch quyền sở hữu, trong đó việc ghi nhận của cơ quan nhà nước là bước hoàn tất chuyển dịch quyền, chứ không phải là điều kiện có hiệu lực của hợp đồng.</w:t>
            </w:r>
          </w:p>
          <w:p>
            <w:pPr>
              <w:shd w:val="clear" w:color="auto" w:fill="FFFFFF"/>
              <w:tabs>
                <w:tab w:val="left" w:pos="3922"/>
              </w:tabs>
              <w:spacing w:before="40" w:after="40" w:line="240" w:lineRule="auto"/>
              <w:ind w:right="7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cách diễn đạt hiện tại của Dự thảo (“việc chuyển nhượng quyền sở hữu công nghiệp có hiệu lực kể từ thời điểm… được ghi nhận”) vẫn có thể bị hiểu là hợp đồng chuyển nhượng chỉ có hiệu lực kể từ ngày ghi nhận, tức lặp lại đúng vướng mắc của khoản 1 Điều 148 hiện hành mà Dự thảo đang muốn khắc phục.</w:t>
            </w:r>
          </w:p>
          <w:p>
            <w:pPr>
              <w:shd w:val="clear" w:color="auto" w:fill="FFFFFF"/>
              <w:tabs>
                <w:tab w:val="left" w:pos="3922"/>
              </w:tabs>
              <w:spacing w:before="40" w:after="40" w:line="240" w:lineRule="auto"/>
              <w:ind w:right="7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Vì vậy, đề nghị (i) thay cụm </w:t>
            </w:r>
            <w:r>
              <w:rPr>
                <w:rFonts w:ascii="Times New Roman" w:eastAsia="Times New Roman" w:hAnsi="Times New Roman" w:cs="Times New Roman"/>
                <w:b/>
                <w:bCs/>
                <w:i/>
                <w:iCs/>
                <w:sz w:val="24"/>
                <w:szCs w:val="24"/>
                <w:u w:val="single"/>
              </w:rPr>
              <w:t>“việc chuyển nhượng”</w:t>
            </w:r>
            <w:r>
              <w:rPr>
                <w:rFonts w:ascii="Times New Roman" w:eastAsia="Times New Roman" w:hAnsi="Times New Roman" w:cs="Times New Roman"/>
                <w:sz w:val="24"/>
                <w:szCs w:val="24"/>
              </w:rPr>
              <w:t xml:space="preserve"> bằng </w:t>
            </w:r>
            <w:r>
              <w:rPr>
                <w:rFonts w:ascii="Times New Roman" w:eastAsia="Times New Roman" w:hAnsi="Times New Roman" w:cs="Times New Roman"/>
                <w:b/>
                <w:bCs/>
                <w:i/>
                <w:iCs/>
                <w:sz w:val="24"/>
                <w:szCs w:val="24"/>
                <w:u w:val="single"/>
              </w:rPr>
              <w:t>“việc chuyển dịch quyền sở hữu công nghiệp từ bên chuyển nhượng sang bên nhận chuyển nhượng”</w:t>
            </w:r>
            <w:r>
              <w:rPr>
                <w:rFonts w:ascii="Times New Roman" w:eastAsia="Times New Roman" w:hAnsi="Times New Roman" w:cs="Times New Roman"/>
                <w:sz w:val="24"/>
                <w:szCs w:val="24"/>
              </w:rPr>
              <w:t xml:space="preserve"> để chỉ rõ đối tượng phát sinh hiệu lực là sự chuyển dịch quyền, không phải hợp đồng; và (ii) bổ sung câu dẫn chiếu khoản 1 Điều 148 để khẳng định minh thị hai loại hiệu lực này là độc lập với nhau</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Đối với ý kiến của Công ty Luật TNHH IPMAX, Bross &amp; Partners, Công ty Luật TNHH T&amp;G VN, Sở KH&amp;CN tỉnh Quảng Ngãi, Sở KH&amp;CN tỉnh Thanh Hóa, VIPA, Công ty Luật TNHH OPIC và Cộng sự, Viện Hàn lâm Khoa học và Xã hội, Đại học Quốc gia TP HCM: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luật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Sửa đổi, bổ sung khoản 2 Điều 138 như sau để làm rõ hiệu lực của hợp đồng chuyển nhượng quyền SHCN.</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“2. Việc chuyển nhượng quyền sở hữu công nghiệp phải được thực hiện dưới hình thức hợp đồng bằng văn bản (sau đây gọi là hợp đồng chuyển nhượng quyền sở hữu công nghiệp). </w:t>
            </w:r>
            <w:r>
              <w:rPr>
                <w:rFonts w:ascii="Times New Roman" w:eastAsia="Times New Roman" w:hAnsi="Times New Roman" w:cs="Times New Roman"/>
                <w:b/>
                <w:bCs/>
                <w:i/>
                <w:iCs/>
                <w:sz w:val="24"/>
                <w:szCs w:val="24"/>
              </w:rPr>
              <w:t>Hợp đồng chuyển nhượng quyền sở hữu công nghiệp có hiệu lực theo thỏa thuận giữa các bên và theo quy định pháp luật dân sự</w:t>
            </w:r>
            <w:r>
              <w:rPr>
                <w:rFonts w:ascii="Times New Roman" w:eastAsia="Times New Roman" w:hAnsi="Times New Roman" w:cs="Times New Roman"/>
                <w:i/>
                <w:iCs/>
                <w:sz w:val="24"/>
                <w:szCs w:val="24"/>
              </w:rPr>
              <w: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Bổ sung khoản 3 vào sau khoản 2 như sau để làm rõ phạm vi quyền của bên nhận chuyển nhượng trong giai đoạn hợp đồng có hiệu lực và việc chuyển nhượng có hiệu lực.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“3. Đối với các loại quyền sở hữu công nghiệp được xác lập trên cơ sở đăng ký theo quy định tại điểm a khoản 3 Điều 6 của Luật này, việc chuyển nhượng quyền sở hữu công nghiệp có hiệu lực kể từ thời điểm việc sửa đổi thông tin văn bằng bảo hộ được cơ quan quản lý nhà nước về quyền sở hữu công nghiệp ghi nhận theo thủ tục quy định tại Điều 97 của Luật này. Bên nhận chuyển nhượng quyền sở hữu công nghiệp có quyền của chủ sở hữu theo quy định của Luật này kể từ thời điểm việc chuyển nhượng có hiệu lực theo quy định tại khoản này.”</w:t>
            </w:r>
            <w:r>
              <w:rPr>
                <w:rFonts w:ascii="Times New Roman" w:eastAsia="Times New Roman" w:hAnsi="Times New Roman" w:cs="Times New Roman"/>
                <w:sz w:val="24"/>
                <w:szCs w:val="24"/>
              </w:rPr>
              <w:t xml:space="preserve"> </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Đây là điểm cần đánh giá tác động thực chất, không chỉ sửa câu chữ.</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đang tách hiệu lực hợp đồng khỏi hiệu lực chuyển quyền nhưng vẫn giữ ghi nhận của cơ quan nhà nước như một bước có tính cấu thành đối với quyền sở hữu. Cần làm rõ hậu quả pháp lý trong thời gian từ khi hợp đồng có hiệu lực đến khi ghi nhận hoàn tất.</w:t>
            </w:r>
            <w:r>
              <w:rPr>
                <w:rFonts w:ascii="Times New Roman" w:eastAsia="Times New Roman" w:hAnsi="Times New Roman" w:cs="Times New Roman"/>
                <w:sz w:val="24"/>
                <w:szCs w:val="24"/>
              </w:rPr>
              <w:br/>
              <w:t xml:space="preserve">Cách viết </w:t>
            </w:r>
            <w:r>
              <w:rPr>
                <w:rFonts w:ascii="Times New Roman" w:eastAsia="Times New Roman" w:hAnsi="Times New Roman" w:cs="Times New Roman"/>
                <w:b/>
                <w:bCs/>
                <w:i/>
                <w:iCs/>
                <w:sz w:val="24"/>
                <w:szCs w:val="24"/>
                <w:u w:val="single"/>
              </w:rPr>
              <w:t>“việc chuyển nhượng quyền sở hữu công nghiệp có hiệu lực kể từ thời điểm thông tin thay đổi do chuyển nhượng được … ghi nhận …”</w:t>
            </w:r>
            <w:r>
              <w:rPr>
                <w:rFonts w:ascii="Times New Roman" w:eastAsia="Times New Roman" w:hAnsi="Times New Roman" w:cs="Times New Roman"/>
                <w:sz w:val="24"/>
                <w:szCs w:val="24"/>
              </w:rPr>
              <w:t xml:space="preserve"> có thể gây lẫn giữa hiệu lực hợp đồng và hiệu lực chuyển quyền sở hữu. Quan trọng hơn, nếu giữ nguyên nguyên tắc chuyển quyền chỉ phát sinh sau đăng ký, thì phải xử lý rõ hậu quả của khoảng thời gian chờ ghi nhận.</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Tình huống thực tiễn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X ký hợp đồng chuyển nhượng nhãn hiệu A cho Y ngày 01/6; Y thanh toán đủ; hồ sơ sửa chủ văn bằng được nộp ngày 10/6; đến ngày 01/9 Cục SHTT mới ghi nhận.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ba tháng đó cần trả lời: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 đã phải là chủ sở hữu chưa?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Y có quyền cấp li-xăng không?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Y có quyền tự mình yêu cầu xử lý xâm phạm không?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Nếu có hành vi xâm phạm xảy ra ngày 15/6, quyền yêu cầu chấm dứt và bồi thường thuộc X hay Y?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Nếu X bị phá sản trước ngày 01/9, quyền SHTT có còn thuộc khối tài sản của X hay không?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Nếu X tiếp tục chuyển nhượng lần thứ hai cho Z và Z được ghi nhận trước, thứ tự ưu tiên được xác định ra sao?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Đây không còn là vấn đề thuần túy về thủ tục hành chính mà liên quan trực tiếp đến quyền tài sản, thực thi quyền, phá sản và giao dịch cạnh tranh đối với cùng một tài sản.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Đáng lưu ý, khoản 6 Điều 91 Nghị định 65/2023/NĐ-CP hiện cho phép người được chuyển nhượng sử dụng hợp đồng chuyển nhượng như một trong các tài liệu chứng minh tư cách khi yêu cầu xử lý xâm phạm; nếu việc chuyển giao đã được ghi nhận thì văn bằng hoặc giấy chứng nhận đăng ký chuyển nhượng cũng được dùng làm chứng cứ. Điều này cho thấy pháp luật dưới luật hiện nay ít nhất về mặt chứng cứ đã thừa nhận vai trò độc lập của hợp đồng trong chứng minh tư cách thực thi.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khi đó, nếu Điều 138.3 mới được hiểu rằng Y chưa phải chủ sở hữu cho tới ngày đăng ký, có thể phát sinh xung đột với cơ chế chứng minh tư cách đang tồn tại tại Điều 91.6.</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sửa khoản 3 Điều 138</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Chúng tôi kiến nghị trước mắt vẫn giữ lựa chọn chính sách của Ban soạn thảo nhưng viết rõ hơn:</w:t>
            </w:r>
            <w:r>
              <w:rPr>
                <w:rFonts w:ascii="Times New Roman" w:eastAsia="Times New Roman" w:hAnsi="Times New Roman" w:cs="Times New Roman"/>
                <w:b/>
                <w:bCs/>
                <w:i/>
                <w:iCs/>
                <w:sz w:val="24"/>
                <w:szCs w:val="24"/>
                <w:u w:val="single"/>
              </w:rPr>
              <w:t xml:space="preserve"> </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b/>
                <w:bCs/>
                <w:i/>
                <w:iCs/>
                <w:sz w:val="24"/>
                <w:szCs w:val="24"/>
                <w:u w:val="single"/>
              </w:rPr>
              <w:t xml:space="preserve">“3. Hợp đồng chuyển nhượng quyền sở hữu công nghiệp có hiệu lực giữa các bên theo thỏa thuận và quy định của pháp luật dân sự. </w:t>
            </w:r>
            <w:r>
              <w:rPr>
                <w:rFonts w:ascii="Times New Roman" w:eastAsia="Times New Roman" w:hAnsi="Times New Roman" w:cs="Times New Roman"/>
                <w:i/>
                <w:iCs/>
                <w:sz w:val="24"/>
                <w:szCs w:val="24"/>
              </w:rPr>
              <w:t>Đối với quyền sở hữu công nghiệp được xác lập trên cơ sở đăng ký theo điểm a khoản 3 Điều 6 của Luật này, quyền sở hữu được chuyển từ bên chuyển nhượng sang bên nhận chuyển nhượng kể từ thời điểm thay đổi chủ sở hữu được cơ quan quản lý nhà nước về quyền sở hữu công nghiệp ghi nhận trong Sổ đăng ký quốc gia về sở hữu công nghiệp và trên văn bằng bảo hộ theo thủ tục quy định tại Điều 97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đồng thời làm rõ: (i) tư cách thực thi quyền trong thời gian chờ ghi nhận; (ii) nhiều giao dịch chuyển nhượng cùng một quyền/thứ tự ưu tiên; (iii) bên chuyển nhượng phá sản trước ghi nhận; (iv) quyền đối với hành vi xâm phạm phát sinh trong thời gian chờ; (v) hậu quả khi ghi nhận bị từ chối.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sửa khoản 3 Điều 138</w:t>
            </w:r>
          </w:p>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Chúng tôi kiến nghị trước mắt vẫn giữ lựa chọn chính sách của Ban soạn thảo nhưng viết rõ hơn.</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T&amp;G 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văn bản giải trình lý do sửa đổi, Ban soạn thảo đã nêu việc sửa đổi này là để “</w:t>
            </w:r>
            <w:r>
              <w:rPr>
                <w:rFonts w:ascii="Times New Roman" w:eastAsia="Times New Roman" w:hAnsi="Times New Roman" w:cs="Times New Roman"/>
                <w:i/>
                <w:iCs/>
                <w:sz w:val="24"/>
                <w:szCs w:val="24"/>
              </w:rPr>
              <w:t>trả về đúng bản chất của việc chuyển nhượng quyền sở hữu là một loại chuyển dịch quyền (bên cạnh các loại chuyển dịch quyền do thừa kế, kế thừa, sáp nhập, chia, tách v.v.), trong đó hợp đồng chuyển nhượng là một hình thức giao dịch dân sự của việc chuyển dịch quyền này</w:t>
            </w:r>
            <w:r>
              <w:rPr>
                <w:rFonts w:ascii="Times New Roman" w:eastAsia="Times New Roman" w:hAnsi="Times New Roman" w:cs="Times New Roman"/>
                <w:sz w:val="24"/>
                <w:szCs w:val="24"/>
              </w:rPr>
              <w:t>”, và hiệu lực của việc chuyển nhượng là “</w:t>
            </w:r>
            <w:r>
              <w:rPr>
                <w:rFonts w:ascii="Times New Roman" w:eastAsia="Times New Roman" w:hAnsi="Times New Roman" w:cs="Times New Roman"/>
                <w:i/>
                <w:iCs/>
                <w:sz w:val="24"/>
                <w:szCs w:val="24"/>
              </w:rPr>
              <w:t>hệ quả hoàn tất của quá trình chuyển dịch quyền sở hữu hợp pháp thông qua hợp đồng chuyển nhượng, mà không phải là hiệu lực của hợp đồng chuyển nhượng</w:t>
            </w:r>
            <w:r>
              <w:rPr>
                <w:rFonts w:ascii="Times New Roman" w:eastAsia="Times New Roman" w:hAnsi="Times New Roman" w:cs="Times New Roman"/>
                <w:sz w:val="24"/>
                <w:szCs w:val="24"/>
              </w:rPr>
              <w: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chúng tôi, chuyển nhượng quyền sở hữu công nghiệp về bản chất là một hình thức chuyển dịch quyền sở hữu từ chủ thể này sang chủ thể khác trên cơ sở giao dịch dân sự hợp pháp. Hợp đồng chuyển nhượng là căn cứ pháp lý thể hiện ý chí của các bên và làm phát sinh quyền, nghĩa vụ tương ứng giữa các bên theo quy định của pháp luật dân sự.</w:t>
            </w:r>
          </w:p>
          <w:p>
            <w:pPr>
              <w:shd w:val="clear" w:color="auto" w:fill="FFFFFF"/>
              <w:spacing w:before="40" w:after="40" w:line="240" w:lineRule="auto"/>
              <w:ind w:hanging="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cách quy định theo hướng "</w:t>
            </w:r>
            <w:r>
              <w:rPr>
                <w:rFonts w:ascii="Times New Roman" w:eastAsia="Times New Roman" w:hAnsi="Times New Roman" w:cs="Times New Roman"/>
                <w:i/>
                <w:iCs/>
                <w:sz w:val="24"/>
                <w:szCs w:val="24"/>
              </w:rPr>
              <w:t>việc chuyển nhượng quyền sở hữu công nghiệp có hiệu lực kể từ thời điểm được cơ quan quản lý nhà nước về quyền sở hữu công nghiệp ghi nhận</w:t>
            </w:r>
            <w:r>
              <w:rPr>
                <w:rFonts w:ascii="Times New Roman" w:eastAsia="Times New Roman" w:hAnsi="Times New Roman" w:cs="Times New Roman"/>
                <w:sz w:val="24"/>
                <w:szCs w:val="24"/>
              </w:rPr>
              <w:t>" tại Dự thảo có thể dẫn đến cách hiểu rằng việc ghi nhận của cơ quan nhà nước là điều kiện làm phát sinh hiệu lực của hợp đồng chuyển nhượng hoặc là điều kiện làm phát sinh quyền của bên nhận chuyển nhượng. Nếu vậy, trong khoảng thời gian từ khi hợp đồng được giao kết hợp pháp đến trước thời điểm hoàn tất thủ tục ghi nhận, hợp đồng hoặc quyền của bên nhận chuyển nhượng có thể bị coi là chưa có hiệu lực, không phù hợp với bản chất của giao dịch dân sự và không phản ánh đúng vai trò của thủ tục ghi nhận.</w:t>
            </w:r>
          </w:p>
          <w:p>
            <w:pPr>
              <w:shd w:val="clear" w:color="auto" w:fill="FFFFFF"/>
              <w:spacing w:before="40" w:after="40" w:line="240" w:lineRule="auto"/>
              <w:ind w:hanging="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Với việc sửa đổi tại Dự thảo và giải thích của Ban soạn thảo, chúng tôi hiểu rằng, cơ quan quản lý nhà nước về quyền sở hữu công nghiệp không tham gia xác lập giao dịch giữa các bên mà chỉ thực hiện việc xem xét tính hợp lệ của hồ sơ theo quy định của pháp luật và trên cơ sở đó, thực hiện việc ghi nhận thay đổi chủ sở hữu trên văn bằng bảo hộ. Nếu vậy, việc ghi nhận trên văn bằng bảo hộ nên được hiểu là hoạt động hành chính nhằm xác nhận và công khai hóa sự thay đổi chủ sở hữu phát sinh từ giao dịch chuyển nhượng hợp pháp. Việc ghi nhận này không phải là căn cứ làm phát sinh hiệu lực của hợp đồng chuyển nhượng, cũng không phải là căn cứ làm phát sinh quyền và nghĩa vụ giữa các bên trong giao dịch chuyển nhượng.</w:t>
            </w:r>
          </w:p>
          <w:p>
            <w:pPr>
              <w:shd w:val="clear" w:color="auto" w:fill="FFFFFF"/>
              <w:spacing w:before="40" w:after="40" w:line="240" w:lineRule="auto"/>
              <w:ind w:hanging="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Đề xuất</w:t>
            </w:r>
            <w:r>
              <w:rPr>
                <w:rFonts w:ascii="Times New Roman" w:eastAsia="Times New Roman" w:hAnsi="Times New Roman" w:cs="Times New Roman"/>
                <w:sz w:val="24"/>
                <w:szCs w:val="24"/>
              </w:rPr>
              <w:t xml:space="preserve">: </w:t>
            </w:r>
          </w:p>
          <w:p>
            <w:pPr>
              <w:shd w:val="clear" w:color="auto" w:fill="FFFFFF"/>
              <w:spacing w:before="40" w:after="40" w:line="240" w:lineRule="auto"/>
              <w:ind w:hanging="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Vì vậy, để tránh cách hiểu rằng quyền chỉ được chuyển giao hoặc chỉ phát sinh kể từ thời điểm hoàn tất thủ tục ghi nhận, chúng tôi đề xuất sửa lại Khoản 3, Điều 138 như sau:</w:t>
            </w:r>
          </w:p>
          <w:p>
            <w:pPr>
              <w:shd w:val="clear" w:color="auto" w:fill="FFFFFF"/>
              <w:spacing w:before="40" w:after="40" w:line="240" w:lineRule="auto"/>
              <w:ind w:hanging="3"/>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“3. </w:t>
            </w:r>
            <w:r>
              <w:rPr>
                <w:rFonts w:ascii="Times New Roman" w:eastAsia="Times New Roman" w:hAnsi="Times New Roman" w:cs="Times New Roman"/>
                <w:b/>
                <w:bCs/>
                <w:i/>
                <w:iCs/>
                <w:sz w:val="24"/>
                <w:szCs w:val="24"/>
                <w:u w:val="single"/>
              </w:rPr>
              <w:t>Hợp đồng chuyển nhượng quyền sở hữu công nghiệp có hiệu lực giữa các bên theo thỏa thuận và quy định của pháp luật dân sự.</w:t>
            </w:r>
            <w:r>
              <w:rPr>
                <w:rFonts w:ascii="Times New Roman" w:eastAsia="Times New Roman" w:hAnsi="Times New Roman" w:cs="Times New Roman"/>
                <w:i/>
                <w:iCs/>
                <w:sz w:val="24"/>
                <w:szCs w:val="24"/>
              </w:rPr>
              <w:t xml:space="preserve"> Đối với các đối tượng quyền sở hữu công nghiệp được xác lập trên cơ sở đăng ký theo quy định tại điểm a khoản 3 Điều 6 của Luật này, việc chuyển nhượng quyền sở hữu công nghiệp </w:t>
            </w:r>
            <w:r>
              <w:rPr>
                <w:rFonts w:ascii="Times New Roman" w:eastAsia="Times New Roman" w:hAnsi="Times New Roman" w:cs="Times New Roman"/>
                <w:b/>
                <w:bCs/>
                <w:i/>
                <w:iCs/>
                <w:sz w:val="24"/>
                <w:szCs w:val="24"/>
                <w:u w:val="single"/>
              </w:rPr>
              <w:t>được cơ quan quản lý nhà nước về quyền sở hữu công nghiệp ghi nhận trên văn bằng bảo hộ</w:t>
            </w:r>
            <w:r>
              <w:rPr>
                <w:rFonts w:ascii="Times New Roman" w:eastAsia="Times New Roman" w:hAnsi="Times New Roman" w:cs="Times New Roman"/>
                <w:i/>
                <w:iCs/>
                <w:sz w:val="24"/>
                <w:szCs w:val="24"/>
                <w:u w:val="single"/>
              </w:rPr>
              <w:t xml:space="preserve"> </w:t>
            </w:r>
            <w:r>
              <w:rPr>
                <w:rFonts w:ascii="Times New Roman" w:eastAsia="Times New Roman" w:hAnsi="Times New Roman" w:cs="Times New Roman"/>
                <w:i/>
                <w:iCs/>
                <w:sz w:val="24"/>
                <w:szCs w:val="24"/>
              </w:rPr>
              <w:t>theo thủ tục quy định tại khoản 1 Điều 97 của Luật này.”</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i/>
                <w:iCs/>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Ngãi</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quy định đối với quyền sở hữu công nghiệp được xác lập trên cơ sở đăng ký, việc chuyển nhượng có hiệu lực từ thời điểm thông tin thay đổi do chuyển nhượng được cơ quan quản lý nhà nước ghi nhận vào văn bằng bảo hộ.</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Khoa học và Công nghệ thống nhất với việc xác định thời điểm ghi nhận thay đổi trên văn bằng bảo hộ là căn cứ xác định hiệu lực của việc chuyển nhượng quyền sở hữu công nghiệp. Tuy nhiên, đề nghị cơ quan soạn thảo làm rõ hơn thời điểm phát sinh hiệu lực của giao dịch giữa các bên và hiệu lực đối kháng với bên thứ ba, nhất là trong trường hợp hợp đồng chuyển nhượng đã được các bên ký kết nhưng chưa hoàn thành thủ tục ghi nhận tại cơ quan quản lý nhà nước.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đề nghị nghiên cứu quy định cụ thể về trường hợp trong khoảng thời gian từ khi hợp đồng chuyển nhượng được ký kết đến khi được ghi nhận vào văn bằng bảo hộ phát sinh giao dịch tiếp theo, tranh chấp hoặc quyền của bên thứ ba, nhằm bảo đảm an toàn pháp lý cho các bên và hạn chế phát sinh tranh chấp liên quan đến quyền sở hữu công nghiệp.</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OPIC và Cộng sự</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 dụng thuật ngữ và cách diễn đạt thật rõ để phân biệt giữa “hiệu lực của hợp đồng chuyển nhượng” và “hiệu lực của việc chuyển dịch quyền sở hữu công nghiệp”. Theo chính thuyết minh của Dự thảo, hợp đồng chuyển nhượng là cơ sở pháp lý của giao dịch giữa các bên, trong khi việc ghi nhận trên văn bằng là căn cứ để việc chuyển dịch quyền được hoàn tất và phát sinh hiệu lực theo cơ chế đăng ký.</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quy định rõ nguyên tắc này để tránh cách hiểu rằng hợp đồng chuyển nhượng chỉ phát sinh mọi quyền và nghĩa vụ giữa các bên kể từ thời điểm được ghi nhận trên văn bằng bảo hộ.</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Thanh Hoá</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nghiên cứu phân định rõ hiệu lực của hợp đồng chuyển nhượng giữa các bên với hiệu lực của việc chuyển nhượng đối với bên thứ ba.</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quy định rõ hai thời điểm này sẽ góp phần hạn chế tranh chấp trong trường hợp các bên đã ký kết hợp đồng chuyển nhượng nhưng thủ tục ghi nhận thay đổi trên văn bằng bảo hộ chưa hoàn tất.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đồng thời nghiên cứu cơ chế công khai, tra cứu thông tin về giao dịch chuyển nhượng đã được ghi nhận để bảo đảm quyền và lợi ích hợp pháp của bên thứ ba.</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thay đổi cơ chế hiệu lực của chuyển nhượng nhưng câu chữ có nguy cơ đồng nhất hiệu lực hợp đồng với hiệu lực đối với người thứ ba.</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Đề xuất sửa theo hướng: </w:t>
            </w:r>
            <w:r>
              <w:rPr>
                <w:rFonts w:ascii="Times New Roman" w:eastAsia="Times New Roman" w:hAnsi="Times New Roman" w:cs="Times New Roman"/>
                <w:i/>
                <w:iCs/>
                <w:sz w:val="24"/>
                <w:szCs w:val="24"/>
              </w:rPr>
              <w:t xml:space="preserve">“Đối với </w:t>
            </w:r>
            <w:r>
              <w:rPr>
                <w:rFonts w:ascii="Times New Roman" w:eastAsia="Times New Roman" w:hAnsi="Times New Roman" w:cs="Times New Roman"/>
                <w:b/>
                <w:bCs/>
                <w:i/>
                <w:iCs/>
                <w:sz w:val="24"/>
                <w:szCs w:val="24"/>
                <w:u w:val="single"/>
              </w:rPr>
              <w:t>quyền sở hữu công nghiệp</w:t>
            </w:r>
            <w:r>
              <w:rPr>
                <w:rFonts w:ascii="Times New Roman" w:eastAsia="Times New Roman" w:hAnsi="Times New Roman" w:cs="Times New Roman"/>
                <w:i/>
                <w:iCs/>
                <w:sz w:val="24"/>
                <w:szCs w:val="24"/>
              </w:rPr>
              <w:t xml:space="preserve"> được xác lập trên cơ sở đăng ký, việc chuyển nhượng có hiệu lực </w:t>
            </w:r>
            <w:r>
              <w:rPr>
                <w:rFonts w:ascii="Times New Roman" w:eastAsia="Times New Roman" w:hAnsi="Times New Roman" w:cs="Times New Roman"/>
                <w:b/>
                <w:bCs/>
                <w:i/>
                <w:iCs/>
                <w:sz w:val="24"/>
                <w:szCs w:val="24"/>
                <w:u w:val="single"/>
              </w:rPr>
              <w:t>đối với người thứ ba</w:t>
            </w:r>
            <w:r>
              <w:rPr>
                <w:rFonts w:ascii="Times New Roman" w:eastAsia="Times New Roman" w:hAnsi="Times New Roman" w:cs="Times New Roman"/>
                <w:i/>
                <w:iCs/>
                <w:sz w:val="24"/>
                <w:szCs w:val="24"/>
              </w:rPr>
              <w:t xml:space="preserve"> kể từ thời điểm thông tin </w:t>
            </w:r>
            <w:r>
              <w:rPr>
                <w:rFonts w:ascii="Times New Roman" w:eastAsia="Times New Roman" w:hAnsi="Times New Roman" w:cs="Times New Roman"/>
                <w:b/>
                <w:bCs/>
                <w:i/>
                <w:iCs/>
                <w:sz w:val="24"/>
                <w:szCs w:val="24"/>
                <w:u w:val="single"/>
              </w:rPr>
              <w:t>về việc chuyển nhượng</w:t>
            </w:r>
            <w:r>
              <w:rPr>
                <w:rFonts w:ascii="Times New Roman" w:eastAsia="Times New Roman" w:hAnsi="Times New Roman" w:cs="Times New Roman"/>
                <w:i/>
                <w:iCs/>
                <w:sz w:val="24"/>
                <w:szCs w:val="24"/>
              </w:rPr>
              <w:t xml:space="preserve"> được cơ quan quản lý nhà nước về quyền sở hữu công nghiệp ghi nhận </w:t>
            </w:r>
            <w:r>
              <w:rPr>
                <w:rFonts w:ascii="Times New Roman" w:eastAsia="Times New Roman" w:hAnsi="Times New Roman" w:cs="Times New Roman"/>
                <w:b/>
                <w:bCs/>
                <w:i/>
                <w:iCs/>
                <w:sz w:val="24"/>
                <w:szCs w:val="24"/>
                <w:u w:val="single"/>
              </w:rPr>
              <w:t>trên văn bằng bảo hộ.</w:t>
            </w:r>
            <w:r>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 xml:space="preserve"> Đồng thời bổ sung: </w:t>
            </w:r>
            <w:r>
              <w:rPr>
                <w:rFonts w:ascii="Times New Roman" w:eastAsia="Times New Roman" w:hAnsi="Times New Roman" w:cs="Times New Roman"/>
                <w:b/>
                <w:bCs/>
                <w:i/>
                <w:iCs/>
                <w:sz w:val="24"/>
                <w:szCs w:val="24"/>
                <w:u w:val="single"/>
              </w:rPr>
              <w:t>“Hiệu lực của hợp đồng giữa các bên được xác định theo thỏa thuận và pháp luật có liên quan.”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138 hiện hành xác định chuyển nhượng là việc chủ sở hữu chuyển giao quyền và yêu cầu thực hiện bằng hợp đồng văn bản. Trong khi đó, Điều 148 hiện hành đang quy định riêng về hiệu lực của hợp đồng. Vì Dự thảo bỏ cơ chế đăng ký hợp đồng nên càng cần phân biệt hiệu lực giữa các bên và hiệu lực đối với người thứ ba.</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VIPA</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Cách viết hiện tại của Dự thảo (“việc chuyển nhượng… có hiệu lực kể từ thời điểm được ghi nhận”) vẫn có thể bị hiểu là hợp đồng chuyển nhượng chỉ có hiệu lực kể từ ngày ghi nhận, tức lặp lại đúng vướng mắc của khoản 1 Điều 148 hiện hành mà Dự thảo đang muốn khắc phục.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VIPA kiến nghị sửa khoản 3 Điều 138 theo hướng tách rõ hiệu lực của hợp đồng với hiệu lực của việc chuyển quyền sở hữu, cụ thể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Pr>
                <w:rFonts w:ascii="Times New Roman" w:eastAsia="Times New Roman" w:hAnsi="Times New Roman" w:cs="Times New Roman"/>
                <w:b/>
                <w:bCs/>
                <w:i/>
                <w:iCs/>
                <w:sz w:val="24"/>
                <w:szCs w:val="24"/>
                <w:u w:val="single"/>
              </w:rPr>
              <w:t>Hợp đồng chuyển nhượng quyền sở hữu công nghiệp có hiệu lực giữa các bên theo thỏa thuận và quy định của pháp luật dân sự.</w:t>
            </w:r>
            <w:r>
              <w:rPr>
                <w:rFonts w:ascii="Times New Roman" w:eastAsia="Times New Roman" w:hAnsi="Times New Roman" w:cs="Times New Roman"/>
                <w:sz w:val="24"/>
                <w:szCs w:val="24"/>
              </w:rPr>
              <w:t xml:space="preserve"> Đối với các loại quyền sở hữu công nghiệp được xác lập trên cơ sở đăng ký theo quy định tại điểm a khoản 3 Điều 6 của Luật này, việc chuyển dịch quyền sở hữu công nghiệp từ bên chuyển nhượng sang bên nhận chuyển nhượng có hiệu lực kể từ thời điểm được cơ quan quản lý nhà nước về quyền sở hữu công nghiệp ghi nhận vào Sổ đăng ký quốc gia và văn bằng bảo hộ theo thủ tục quy định tại khoản 1 Điều 97 của Luật này</w:t>
            </w:r>
            <w:r>
              <w:rPr>
                <w:rFonts w:ascii="Times New Roman" w:eastAsia="Times New Roman" w:hAnsi="Times New Roman" w:cs="Times New Roman"/>
                <w:b/>
                <w:bCs/>
                <w:i/>
                <w:iCs/>
                <w:sz w:val="24"/>
                <w:szCs w:val="24"/>
                <w:u w:val="single"/>
              </w:rPr>
              <w:t>; việc chuyển dịch này không làm ảnh hưởng đến hiệu lực của hợp đồng chuyển nhượng giữa các bên.</w:t>
            </w:r>
            <w:r>
              <w:rPr>
                <w:rFonts w:ascii="Times New Roman" w:eastAsia="Times New Roman" w:hAnsi="Times New Roman" w:cs="Times New Roman"/>
                <w:sz w:val="24"/>
                <w:szCs w:val="24"/>
              </w:rPr>
              <w: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VIPA đề nghị giao Chính phủ quy định chi tiết để xử lý khoảng thời gian từ khi hợp đồng có hiệu lực đến khi việc chuyển quyền được ghi nhận, gồm: tư cách thực thi quyền trong thời gian chờ ghi nhận; hậu quả pháp lý khi yêu cầu ghi nhận bị từ chối; và quyền đối với yêu cầu bồi thường phát sinh trước ngày ghi nhận.</w:t>
            </w:r>
          </w:p>
        </w:tc>
        <w:tc>
          <w:tcPr>
            <w:tcW w:w="4253" w:type="dxa"/>
            <w:vMerge/>
          </w:tcPr>
          <w:p>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Đại học Quốc gia TP HCM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sửa khoản 3 Điều 138 theo hướng phân biệt rõ hiệu lực của hợp đồng chuyển nhượng giữa các bên và thời điểm hoàn tất việc chuyển quyền sở hữu công nghiệp. Cụ thể, có thể quy định:</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“3. </w:t>
            </w:r>
            <w:r>
              <w:rPr>
                <w:rFonts w:ascii="Times New Roman" w:eastAsia="Times New Roman" w:hAnsi="Times New Roman" w:cs="Times New Roman"/>
                <w:b/>
                <w:bCs/>
                <w:i/>
                <w:iCs/>
                <w:sz w:val="24"/>
                <w:szCs w:val="24"/>
                <w:u w:val="single"/>
              </w:rPr>
              <w:t>Hợp đồng chuyển nhượng quyền sở hữu công nghiệp có hiệu lực giữa các bên theo quy định của pháp luật về dân sự.</w:t>
            </w:r>
            <w:r>
              <w:rPr>
                <w:rFonts w:ascii="Times New Roman" w:eastAsia="Times New Roman" w:hAnsi="Times New Roman" w:cs="Times New Roman"/>
                <w:i/>
                <w:iCs/>
                <w:sz w:val="24"/>
                <w:szCs w:val="24"/>
              </w:rPr>
              <w:t xml:space="preserve"> Đối với các loại quyền sở hữu công nghiệp được xác lập trên cơ sở đăng ký theo quy định tại điểm a khoản 3 Điều 6 của Luật này, việc chuyển quyền sở hữu công nghiệp được hoàn tất kể từ thời điểm thông tin thay đổi do chuyển nhượng được cơ quan quản lý nhà nước về quyền sở hữu công nghiệp ghi nhận vào văn bằng bảo hộ theo thủ tục quy định tại Điều 97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Cách quy định như hiện tại chưa phân biệt giữa hiệu lực của hợp đồng chuyển nhượng và thời điểm hoàn tất việc chuyển quyền sở hữu. Trong khi đó, tại Bản so sánh, thuyết minh xác định hợp đồng chuyển nhượng là giao dịch dân sự và phải có hiệu lực giữa các bên để các bên thực hiện các nghĩa vụ như thanh toán, làm thủ tục sửa đổi văn bằng; việc ghi nhận thay đổi chủ sở hữu tại cơ quan quản lý nhà nước mới là thời điểm hoàn tất quá trình chuyển dịch quyền.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không phân định hai thời điểm này, có thể dẫn đến cách hiểu rằng hợp đồng chuyển nhượng hoàn toàn chưa có hiệu lực trước khi việc thay đổi chủ sở hữu được ghi nhận, từ đó gây khó khăn trong xác định quyền và nghĩa vụ của các bên trong giai đoạn thực hiện hợp đồng. Việc phân biệt hiệu lực của hợp đồng và hiệu lực của việc chuyển quyền sẽ bảo đảm sự thống nhất giữa pháp luật sở hữu trí tuệ và pháp luật dân sự, đồng thời xác định rõ quyền, nghĩa vụ của các bên trong khoảng thời gian từ khi giao kết hợp đồng đến khi việc chuyển quyền được cơ quan nhà nước ghi nhận.</w:t>
            </w:r>
          </w:p>
        </w:tc>
        <w:tc>
          <w:tcPr>
            <w:tcW w:w="4253" w:type="dxa"/>
            <w:vMerge/>
          </w:tcPr>
          <w:p>
            <w:pPr>
              <w:shd w:val="clear" w:color="auto" w:fill="FFFFFF"/>
              <w:spacing w:after="0" w:line="240" w:lineRule="auto"/>
              <w:ind w:right="142"/>
              <w:jc w:val="both"/>
              <w:rPr>
                <w:rFonts w:ascii="Times New Roman" w:eastAsia="Times New Roman" w:hAnsi="Times New Roman" w:cs="Times New Roman"/>
                <w:sz w:val="24"/>
                <w:szCs w:val="24"/>
              </w:rPr>
            </w:pPr>
          </w:p>
        </w:tc>
      </w:tr>
      <w:t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Sửa đổi, bổ sung tên Mục 4 Chương X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tabs>
                <w:tab w:val="left" w:pos="3922"/>
              </w:tabs>
              <w:spacing w:before="40" w:after="40" w:line="240" w:lineRule="auto"/>
              <w:ind w:right="7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 xml:space="preserve">“Mục 4. ĐĂNG KÝ HỢP ĐỒNG CHUYỂN </w:t>
            </w:r>
            <w:r>
              <w:rPr>
                <w:rFonts w:ascii="Times New Roman" w:eastAsia="Times New Roman" w:hAnsi="Times New Roman" w:cs="Times New Roman"/>
                <w:b/>
                <w:bCs/>
                <w:i/>
                <w:iCs/>
                <w:strike/>
                <w:sz w:val="24"/>
                <w:szCs w:val="24"/>
              </w:rPr>
              <w:t xml:space="preserve">GIAO </w:t>
            </w:r>
            <w:r>
              <w:rPr>
                <w:rFonts w:ascii="Times New Roman" w:eastAsia="Times New Roman" w:hAnsi="Times New Roman" w:cs="Times New Roman"/>
                <w:b/>
                <w:bCs/>
                <w:i/>
                <w:iCs/>
                <w:sz w:val="24"/>
                <w:szCs w:val="24"/>
              </w:rPr>
              <w:t>QUYỀN SỬ DỤNG ĐỐI TƯỢNG SỞ HỮU CÔNG NGHIỆP”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tabs>
                <w:tab w:val="left" w:pos="3922"/>
              </w:tabs>
              <w:spacing w:before="40" w:after="40" w:line="240" w:lineRule="auto"/>
              <w:ind w:right="75"/>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Sửa đổi, bổ sung tên Điều 148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tabs>
                <w:tab w:val="left" w:pos="3922"/>
              </w:tabs>
              <w:spacing w:before="40" w:after="40" w:line="240" w:lineRule="auto"/>
              <w:ind w:right="75"/>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“Điều 148. Hiệu lực của hợp đồng chuyển </w:t>
            </w:r>
            <w:r>
              <w:rPr>
                <w:rFonts w:ascii="Times New Roman" w:eastAsia="Times New Roman" w:hAnsi="Times New Roman" w:cs="Times New Roman"/>
                <w:b/>
                <w:bCs/>
                <w:strike/>
                <w:sz w:val="24"/>
                <w:szCs w:val="24"/>
              </w:rPr>
              <w:t>giao</w:t>
            </w:r>
            <w:r>
              <w:rPr>
                <w:rFonts w:ascii="Times New Roman" w:eastAsia="Times New Roman" w:hAnsi="Times New Roman" w:cs="Times New Roman"/>
                <w:b/>
                <w:bCs/>
                <w:sz w:val="24"/>
                <w:szCs w:val="24"/>
              </w:rPr>
              <w:t xml:space="preserve"> quyền </w:t>
            </w:r>
            <w:r>
              <w:rPr>
                <w:rFonts w:ascii="Times New Roman" w:eastAsia="Times New Roman" w:hAnsi="Times New Roman" w:cs="Times New Roman"/>
                <w:b/>
                <w:bCs/>
                <w:i/>
                <w:iCs/>
                <w:sz w:val="24"/>
                <w:szCs w:val="24"/>
              </w:rPr>
              <w:t xml:space="preserve">sử dụng đối tượng </w:t>
            </w:r>
            <w:r>
              <w:rPr>
                <w:rFonts w:ascii="Times New Roman" w:eastAsia="Times New Roman" w:hAnsi="Times New Roman" w:cs="Times New Roman"/>
                <w:b/>
                <w:bCs/>
                <w:sz w:val="24"/>
                <w:szCs w:val="24"/>
              </w:rPr>
              <w:t>sở hữu công nghiệp”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Gia Lai</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Các khoản trong Điều 148 lại quy định về hiệu lực của </w:t>
            </w:r>
            <w:r>
              <w:rPr>
                <w:rFonts w:ascii="Times New Roman" w:eastAsia="Times New Roman" w:hAnsi="Times New Roman" w:cs="Times New Roman"/>
                <w:b/>
                <w:bCs/>
                <w:i/>
                <w:iCs/>
                <w:sz w:val="24"/>
                <w:szCs w:val="24"/>
              </w:rPr>
              <w:t>hợp đồng sử dụng đối tượng sở hữu công nghiệp.</w:t>
            </w:r>
            <w:r>
              <w:rPr>
                <w:rFonts w:ascii="Times New Roman" w:eastAsia="Times New Roman" w:hAnsi="Times New Roman" w:cs="Times New Roman"/>
                <w:sz w:val="24"/>
                <w:szCs w:val="24"/>
              </w:rPr>
              <w:t xml:space="preserve"> Do vậy, để đảm bảo tính thống nhất giữa tên và nội dung quy định của Điều, đề nghị cơ quan soạn thảo cân nhắc, chỉnh sửa bổ sung cho phù hợp.</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Sửa đổi, bổ sung tên Điều 150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widowControl w:val="0"/>
              <w:shd w:val="clear" w:color="auto" w:fill="FFFFFF"/>
              <w:tabs>
                <w:tab w:val="left" w:pos="2516"/>
              </w:tabs>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“Điều 150. Xử lý hồ sơ đăng ký hợp đồng chuyển </w:t>
            </w:r>
            <w:r>
              <w:rPr>
                <w:rFonts w:ascii="Times New Roman" w:eastAsia="Times New Roman" w:hAnsi="Times New Roman" w:cs="Times New Roman"/>
                <w:b/>
                <w:bCs/>
                <w:strike/>
                <w:sz w:val="24"/>
                <w:szCs w:val="24"/>
              </w:rPr>
              <w:t>giao</w:t>
            </w:r>
            <w:r>
              <w:rPr>
                <w:rFonts w:ascii="Times New Roman" w:eastAsia="Times New Roman" w:hAnsi="Times New Roman" w:cs="Times New Roman"/>
                <w:b/>
                <w:bCs/>
                <w:sz w:val="24"/>
                <w:szCs w:val="24"/>
              </w:rPr>
              <w:t xml:space="preserve"> quyền </w:t>
            </w:r>
            <w:r>
              <w:rPr>
                <w:rFonts w:ascii="Times New Roman" w:eastAsia="Times New Roman" w:hAnsi="Times New Roman" w:cs="Times New Roman"/>
                <w:b/>
                <w:bCs/>
                <w:i/>
                <w:iCs/>
                <w:sz w:val="24"/>
                <w:szCs w:val="24"/>
              </w:rPr>
              <w:t xml:space="preserve">sử dụng đối tượng </w:t>
            </w:r>
            <w:r>
              <w:rPr>
                <w:rFonts w:ascii="Times New Roman" w:eastAsia="Times New Roman" w:hAnsi="Times New Roman" w:cs="Times New Roman"/>
                <w:b/>
                <w:bCs/>
                <w:sz w:val="24"/>
                <w:szCs w:val="24"/>
              </w:rPr>
              <w:t>sở hữu công nghiệp”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Gia Lai</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chỉnh sửa nội dung tương tự (ý kiến góp ý đối với tên Điều 148) tại Điều 150 Luật cho phù hợp</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Sửa đổi, bổ sung khoản 7 Điều 165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Chính phủ quy định chi tiết việc kiểm tra nghiệp vụ đại diện quyền đối với giống cây trồng; cấp, cấp lại, thu hồi Chứng chỉ hành nghề dịch vụ đại diện quyền đối với giống cây trồng; ghi nhận, ghi nhận lại, xóa tên tổ chức dịch vụ đại diện quyền đối với giống cây trồng. Bộ trưởng </w:t>
            </w:r>
            <w:r>
              <w:rPr>
                <w:rFonts w:ascii="Times New Roman" w:eastAsia="Times New Roman" w:hAnsi="Times New Roman" w:cs="Times New Roman"/>
                <w:b/>
                <w:bCs/>
                <w:i/>
                <w:iCs/>
                <w:sz w:val="24"/>
                <w:szCs w:val="24"/>
              </w:rPr>
              <w:t xml:space="preserve">Bộ Khoa học và Công nghệ </w:t>
            </w:r>
            <w:r>
              <w:rPr>
                <w:rFonts w:ascii="Times New Roman" w:eastAsia="Times New Roman" w:hAnsi="Times New Roman" w:cs="Times New Roman"/>
                <w:strike/>
                <w:sz w:val="24"/>
                <w:szCs w:val="24"/>
              </w:rPr>
              <w:t xml:space="preserve">Nông nghiệp và Môi trường </w:t>
            </w:r>
            <w:r>
              <w:rPr>
                <w:rFonts w:ascii="Times New Roman" w:eastAsia="Times New Roman" w:hAnsi="Times New Roman" w:cs="Times New Roman"/>
                <w:sz w:val="24"/>
                <w:szCs w:val="24"/>
              </w:rPr>
              <w:t>quy định chương trình đào tạo pháp luật về quyền đối với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Nội vụ</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Không phân quyền trực tiếp cho các Bộ trưởng tại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Theo yêu cầu của Thủ tướng Chính phủ, khi soạn thảo các dự án luật, nghị quyết của Quốc hội, nghị quyết, pháp lệnh của Ủy ban Thường vụ Quốc hội “không quy định cụ thể tên Bộ, ngành và nhiệm vụ, quyền hạn cụ thể của Bộ, ngành tại dự thảo luật, nghị quyết, pháp lệnh, bảo đảm quy định những vấn đề thuộc thẩm quyền của Quốc hội theo quy định của Hiến pháp; không phân quyền trực tiếp cho các Bộ trưởng tại luật, pháp lệnh, nghị quyết”. Cơ quan chủ trì soạn thảo nhận thấy yêu cầu này phù hợp với nguyên tắc của Luật Tổ chức Chính phủ và phù hợp đối với các dự án luật, nghị quyết được ban hành mới hoặc sửa đổi tổng thể, toàn diện.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Tuy nhiên, dự án Luật này chỉ sửa đổi, bổ sung một số điều, khoản của Luật SHTT hiện hành, không sửa đổi tổng thể Luật. Nếu thực hiện ngay yêu cầu nêu trên tại dự án Luật này sẽ khó bảo đảm tính thống nhất, đồng bộ trong nội tại của Luật SHTT do nhiều nội dung vẫn đang giao Bộ trưởng quy định chi tiết; đồng thời chưa kịp thời thể chế hóa chủ trương tăng cường phân quyền, phân cấp hiện nay. Vì vậy, Cơ quan chủ trì soạn thảo xin giữ nguyên quy định sẵn có để tiếp tục quy định theo hướng giao Bộ trưởng quy định chi tiết đối với các nội dung sửa đổi, bổ sung tại dự án Luật này. Việc rà soát, chỉnh lý theo định hướng nêu trên sẽ được thực hiện khi sửa đổi tổng thể, toàn diện Luật SHTT.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Dân tộc và Tôn giáo</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Khoản 7 quy định: </w:t>
            </w:r>
            <w:r>
              <w:rPr>
                <w:rFonts w:ascii="Times New Roman" w:eastAsia="Times New Roman" w:hAnsi="Times New Roman" w:cs="Times New Roman"/>
                <w:i/>
                <w:iCs/>
                <w:sz w:val="24"/>
                <w:szCs w:val="24"/>
              </w:rPr>
              <w:t xml:space="preserve">“Chính phủ quy định chi tiết việc kiểm tra nghiệp vụ đại diện quyền đối với giống cây trồng”. </w:t>
            </w:r>
            <w:r>
              <w:rPr>
                <w:rFonts w:ascii="Times New Roman" w:eastAsia="Times New Roman" w:hAnsi="Times New Roman" w:cs="Times New Roman"/>
                <w:sz w:val="24"/>
                <w:szCs w:val="24"/>
              </w:rPr>
              <w:t>Đề nghị rà soát quy định tại khoản 1 Điều 6 Nghị định số 217/2025/NĐ-CP ngày 05/8/2025 của Chính phủ về hoạt động kiểm tra chuyên ngành</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“Kiểm tra nghiệp vụ đại diện quyền đối với giống cây trồng” là chính là kiểm tra về nghiệp vụ đại diện theo quy định tại điểm e khoản 6 Điều 165 của Luật SHTT, là một trong những điều kiện để Cá nhân được cấp Chứng chỉ hành nghề dịch vụ đại diện quyền đối với giống cây trồng. Kiểm tra nghiệp vụ này không thuộc đối tượng, phạm vi điều chỉnh của Nghị định số 217/2025/NĐ-CP.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Sửa đổi, bổ sung khoản 3 và khoản 5 của Điều 170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Sửa đổi, bổ sung khoản 3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Trong trường hợp quy định tại điểm b khoản 1 Điều này, Bằng bảo hộ giống cây trồng tự động bị đình chỉ hiệu lực kể từ ngày bắt đầu năm hiệu lực đầu tiên mà lệ phí để duy trì hiệu lực không được nộp. </w:t>
            </w:r>
            <w:r>
              <w:rPr>
                <w:rFonts w:ascii="Times New Roman" w:eastAsia="Times New Roman" w:hAnsi="Times New Roman" w:cs="Times New Roman"/>
                <w:strike/>
                <w:sz w:val="24"/>
                <w:szCs w:val="24"/>
              </w:rPr>
              <w:t>Trong thời hạn sáu mươi ngày kể từ ngày Bằng bảo hộ giống cây trồng bị đình chỉ hiệu lực, cơ quan quản lý nhà nước về quyền đối với giống cây trồng thông báo về việc đình chỉ hiệu lực Bằng bảo hộ giống cây trồng theo quy định tại khoản 5 Điều này.</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Cơ quan quản lý nhà nước về quyền đối với giống cây trồng công bố việc đình chỉ hiệu lực Bằng bảo hộ giống cây trồng trên Công báo về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phân biệt thời điểm pháp lý làm phát sinh đình chỉ hiệu lực với thời điểm cơ quan quản lý ra quyết định/thông báo và công bố thông tin.</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Bổ sung câu: </w:t>
            </w:r>
            <w:r>
              <w:rPr>
                <w:rFonts w:ascii="Times New Roman" w:eastAsia="Times New Roman" w:hAnsi="Times New Roman" w:cs="Times New Roman"/>
                <w:b/>
                <w:bCs/>
                <w:i/>
                <w:iCs/>
                <w:sz w:val="24"/>
                <w:szCs w:val="24"/>
                <w:u w:val="single"/>
              </w:rPr>
              <w:t>“Việc thông báo hoặc công bố quyết định đình chỉ hiệu lực không làm thay đổi thời điểm đình chỉ hiệu lực Bằng bảo hộ theo quy định tại khoản này.”</w:t>
            </w:r>
            <w:r>
              <w:rPr>
                <w:rFonts w:ascii="Times New Roman" w:eastAsia="Times New Roman" w:hAnsi="Times New Roman" w:cs="Times New Roman"/>
                <w:sz w:val="24"/>
                <w:szCs w:val="24"/>
              </w:rPr>
              <w:t xml:space="preserve"> Đồng thời quy định rõ thời điểm thông tin đình chỉ được cập nhật vào Sổ đăng ký quốc gia.</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Đình chỉ hiệu lực tác động trực tiếp đến chủ bằng và người thứ ba. Cần tránh trường hợp hiểu rằng chỉ từ thời điểm công bố thì văn bằng mới mất hiệu lực. Pháp luật hiện hành phân biệt các trường hợp cơ quan quản lý ra quyết định đình chỉ với các trường hợp phát sinh theo quy định của Luật.</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dự thảo như sau:</w:t>
            </w:r>
          </w:p>
          <w:p>
            <w:pPr>
              <w:shd w:val="clear" w:color="auto" w:fill="FFFFFF"/>
              <w:spacing w:before="40" w:after="40" w:line="240" w:lineRule="auto"/>
              <w:ind w:right="142"/>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“3. Trong trường hợp quy định tại điểm b khoản 1 Điều này, Bằng bảo hộ giống cây trồng tự động bị đình chỉ hiệu lực kể từ ngày đầu tiên của  năm hiệu lực tiếp theo mà lệ phí để duy trì hiệu lực không được nộp. Cơ quan quản lý nhà nước về quyền đối với giống cây trồng công bố việc đình chỉ hiệu lực Bằng bảo hộ giống cây trồng trên Công báo về giống cây trồng trong thời hạn ba mươi ngày từ thời điểm hiệu lực của Bằng bảo hộ giống cây trồng bị tự động đình chỉ.”</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Sửa đổi, bổ sung khoản 5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trike/>
                <w:sz w:val="24"/>
                <w:szCs w:val="24"/>
              </w:rPr>
              <w:t>5. Trong các trường hợp quy định tại khoản 1 Điều này, cơ quan quản lý nhà nước về quyền đối với giống cây trồng đăng thông báo trên tạp chí chuyên ngành Công báo về giống cây trồng và nêu rõ lý do đình chỉ, đồng thời gửi thông báo cho chủ bằng bảo hộ. Trong thời hạn ba mươi ngày, kể từ ngày thông báo, chủ bằng bảo hộ có quyền gửi đơn đề nghị được khắc phục các lý do bị đình chỉ cho cơ quan quản lý nhà nước về quyền đối với giống cây trồng và nộp lệ phí để phục hồi hiệu lực Bằng bảo hộ giống cây trồng. Trong thời hạn chín mươi ngày kể từ ngày nộp đơn, chủ bằng bảo hộ phải khắc phục những lý do bị đình chỉ đối với các trường hợp quy định tại các điểm b, c và d khoản 1 Điều này. Cơ quan quản lý nhà nước về quyền đối với giống cây trồng xem xét phục hồi hiệu lực Bằng bảo hộ và thông báo trên tạp chí chuyên ngành Công báo về giống cây trồng.</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Trong trường hợp quy định tại điểm a khoản 1 Điều này, hiệu lực Bằng bảo hộ giống cây trồng sẽ được phục hồi sau khi chủ sở hữu chứng minh được giống đã đáp ứng các điều kiện về tính đồng nhất và tính ổn định và được cơ quan quản lý nhà nước về quyền đối với giống cây trồng xác nhận</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5. Việc phục hồi hiệu lực đối với Bằng bảo hộ giống cây trồng đã bị đình chỉ hiệu lực theo quy định tại khoản 2, 3 Điều này được thực hiện theo quy định của Chính phủ.”</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Sửa đổi, bổ sung Điều 173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173. Công bố quyết định liên quan đến Bằng bảo hộ giống cây trồng</w:t>
            </w:r>
            <w:r>
              <w:rPr>
                <w:rFonts w:ascii="Times New Roman" w:eastAsia="Times New Roman" w:hAnsi="Times New Roman" w:cs="Times New Roman"/>
                <w:b/>
                <w:bCs/>
                <w:sz w:val="24"/>
                <w:szCs w:val="24"/>
              </w:rPr>
              <w:tab/>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Quyết định về việc cấp, cấp lại, đình chỉ, hủy bỏ, sửa đổi Bằng bảo hộ giống cây trồng được cơ quan quản lý nhà nước về quyền đối với giống cây trồng công bố trên </w:t>
            </w:r>
            <w:r>
              <w:rPr>
                <w:rFonts w:ascii="Times New Roman" w:eastAsia="Times New Roman" w:hAnsi="Times New Roman" w:cs="Times New Roman"/>
                <w:strike/>
                <w:sz w:val="24"/>
                <w:szCs w:val="24"/>
              </w:rPr>
              <w:t>tạp chí chuyên ngành về giống cây trồng</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 xml:space="preserve">Công báo về giống cây trồng </w:t>
            </w:r>
            <w:r>
              <w:rPr>
                <w:rFonts w:ascii="Times New Roman" w:eastAsia="Times New Roman" w:hAnsi="Times New Roman" w:cs="Times New Roman"/>
                <w:sz w:val="24"/>
                <w:szCs w:val="24"/>
              </w:rPr>
              <w:t xml:space="preserve">trong thời hạn </w:t>
            </w:r>
            <w:r>
              <w:rPr>
                <w:rFonts w:ascii="Times New Roman" w:eastAsia="Times New Roman" w:hAnsi="Times New Roman" w:cs="Times New Roman"/>
                <w:b/>
                <w:bCs/>
                <w:i/>
                <w:iCs/>
                <w:sz w:val="24"/>
                <w:szCs w:val="24"/>
              </w:rPr>
              <w:t>ba</w:t>
            </w:r>
            <w:r>
              <w:rPr>
                <w:rFonts w:ascii="Times New Roman" w:eastAsia="Times New Roman" w:hAnsi="Times New Roman" w:cs="Times New Roman"/>
                <w:strike/>
                <w:sz w:val="24"/>
                <w:szCs w:val="24"/>
              </w:rPr>
              <w:t>sáu</w:t>
            </w:r>
            <w:r>
              <w:rPr>
                <w:rFonts w:ascii="Times New Roman" w:eastAsia="Times New Roman" w:hAnsi="Times New Roman" w:cs="Times New Roman"/>
                <w:sz w:val="24"/>
                <w:szCs w:val="24"/>
              </w:rPr>
              <w:t xml:space="preserve"> mươi ngày, kể từ ngày ra quyết định.”</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Gia Lai</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chỉnh sửa thành</w:t>
            </w:r>
          </w:p>
          <w:p>
            <w:pPr>
              <w:shd w:val="clear" w:color="auto" w:fill="FFFFFF"/>
              <w:spacing w:before="40" w:after="40" w:line="240" w:lineRule="auto"/>
              <w:ind w:right="114"/>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“Quyết định về việc </w:t>
            </w:r>
            <w:r>
              <w:rPr>
                <w:rFonts w:ascii="Times New Roman" w:eastAsia="Times New Roman" w:hAnsi="Times New Roman" w:cs="Times New Roman"/>
                <w:b/>
                <w:bCs/>
                <w:i/>
                <w:iCs/>
                <w:sz w:val="24"/>
                <w:szCs w:val="24"/>
                <w:u w:val="single"/>
              </w:rPr>
              <w:t>cấp; sửa đổi, cấp lại; đình chỉ, phục hồi, hủy bỏ hiệu lực</w:t>
            </w:r>
            <w:r>
              <w:rPr>
                <w:rFonts w:ascii="Times New Roman" w:eastAsia="Times New Roman" w:hAnsi="Times New Roman" w:cs="Times New Roman"/>
                <w:i/>
                <w:iCs/>
                <w:sz w:val="24"/>
                <w:szCs w:val="24"/>
              </w:rPr>
              <w:t xml:space="preserve"> Bằng bảo hộ giống cây trồng được cơ quan quản lý nhà nước về quyền đối với giống cây trồng công bố trên Công báo về giống cây trồng trong thời hạn ba mươi ngày, kể từ ngày ra quyết định” </w:t>
            </w:r>
            <w:r>
              <w:rPr>
                <w:rFonts w:ascii="Times New Roman" w:eastAsia="Times New Roman" w:hAnsi="Times New Roman" w:cs="Times New Roman"/>
                <w:sz w:val="24"/>
                <w:szCs w:val="24"/>
              </w:rPr>
              <w:t>nhằm đảm bảo thống nhất, phù hợp với quy định tại Điều 170, Điều 171 Luật (Điều 170 quy định về đình chỉ, phục hồi hiệu lực Bằng bảo hộ giống cây trồng; Điều 171 quy định về hủy bỏ hiệu lực Bằng bảo hộ giống cây trồng).</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shd w:val="clear" w:color="auto" w:fill="auto"/>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shd w:val="clear" w:color="auto" w:fill="auto"/>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đối với nội dung tại khoản 9 và khoản 12:</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Thời hạn công bố các quyết định về việc cấp, cấp lại, đình chỉ, hủy bỏ, sửa đổi Bằng bảo hộ giống cây trồng được rút ngắn từ 60 ngày xuống 30 ngày; thời hạn công bố đơn đăng ký bảo hộ hợp lệ về hình thức được rút ngắn từ 90 ngày xuống 30 ngày. Theo hồ sơ dự án Luật SHTT, việc sửa đổi nhằm thực hiện chủ trương cắt giảm, đơn giản hóa thủ tục hành chính, đẩy mạnh chuyển đổi số trong quản lý nhà nước về sở hữu trí tuệ. Tuy nhiên, hồ sơ hiện chưa làm rõ cơ sở thực tiễn của việc lựa chọn thời hạn 30 ngày, chưa có đánh giá cụ thể về khả năng đáp ứng của hệ thống công bố thông tin và tác động đối với các chủ thể có liên quan. Trong khi đó, Công bố đơn đăng ký và quyết định bảo hộ là khâu quan trọng trong thủ tục hành chính về xác lập quyền đối với giống cây trồng, đồng thời là cơ chế bảo đảm tính công khai, minh bạch và quyền của bên thứ ba, giúp chủ thể quyền, doanh nghiệp, tổ chức nghiên cứu theo dõi tình trạng pháp lý của đơn đăng ký và Bằng bảo hộ giống cây trồng, tạo điều kiện thực hiện quyền phản đối, khiếu nại, chuẩn bị chứng cứ và hạn chế nguy cơ cấp trùng hoặc phát sinh xung đột quyền. Việc rút ngắn thời hạn công bố có thể làm giảm thời gian tiếp cận thông tin của tổ chức, cá nhân có liên quan. Do đó, đề nghị cơ quan chủ trì soạn thảo bổ sung giải trình về cơ sở xác định thời hạn công bố 30 ngày và đánh giá tác động của việc rút ngắn thời hạn công bố, bảo đảm vừa thực hiện mục tiêu cải cách thủ tục hành chính, chuyển đổi số, vừa bảo đảm tính công khai, minh bạch và quyền tiếp cận thông tin của các chủ thể có liên quan.</w:t>
            </w: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rút ngắn thời hạn công bố đơn đăng ký bảo hộ giống cây trồng hợp lệ về hình thức từ 90 ngày xuống 30 ngày và thời hạn công bố các quyết định liên quan đến Bằng bảo hộ từ 60 ngày xuống 30 ngày nhằm đẩy nhanh việc công khai thông tin, phù hợp với yêu cầu cải cách thủ tục hành chính, chuyển đổi số, đồng thời hài hòa với thời hạn công bố đang được áp dụng đối với các thủ tục xác lập quyền sở hữu công nghiệp.</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 rà soát, Công ước UPOV không quy định thời hạn cụ thể đối với việc công bố đơn và quyết định cấp bằng mà yêu cầu các thành viên bảo đảm công chúng được tiếp cận thông tin về các giống đăng ký bảo hộ thông qua việc công bố định kỳ. Thực tiễn tại các thành viên UPOV cũng có sự khác nhau tùy theo cơ chế quản lý và phương thức công bố (CPVO công bố hàng tháng 1-2 lần, Nhật Bản công bố hàng tháng 2-3 lần). Do đó, việc quy định thời hạn 30 ngày thuộc phạm vi chủ động của quốc gia thành viên và phù hợp với yêu cầu của Công ước.</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rút ngắn thời hạn công bố không làm giảm thời gian tiếp cận thông tin của tổ chức, cá nhân có liên quan mà giúp thông tin được công khai sớm hơn, tạo điều kiện để bên thứ ba theo dõi tình trạng pháp lý của đơn và kịp thời thực hiện quyền phản đối, khiếu nại và các quyền có liên quan. Đồng thời, do quyền tạm thời đối với giống cây trồng phát sinh từ thời điểm đơn đăng ký được công bố, nên việc công bố sớm hơn cũng tạo điều kiện để người đăng ký sớm được hưởng cơ chế bảo vệ quyền tạm thời trong thời gian đơn đang được tiếp tục thẩm định nội dung.</w:t>
            </w:r>
          </w:p>
          <w:p>
            <w:pPr>
              <w:shd w:val="clear" w:color="auto" w:fill="FFFFFF"/>
              <w:spacing w:before="40" w:after="40" w:line="240" w:lineRule="auto"/>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việc quy định thời hạn 30 ngày vừa bảo đảm công khai, minh bạch và quyền tiếp cận thông tin của bên thứ ba, vừa góp phần bảo vệ quyền, lợi ích hợp pháp của người đăng ký. Cơ quan soạn thảo sẽ tiếp tục rà soát, bảo đảm các điều kiện kỹ thuật và phương thức công bố phù hợp để thực hiện quy định này. Đề nghị giữ thời hạn 30 ngày như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 Sửa đổi, bổ sung một số khoản của Điều 174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Sửa đổi, bổ sung khoản 1 và khoản 2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 xml:space="preserve">“1. Đơn đăng ký bảo hộ </w:t>
            </w:r>
            <w:r>
              <w:rPr>
                <w:rFonts w:ascii="Times New Roman" w:eastAsia="Times New Roman" w:hAnsi="Times New Roman" w:cs="Times New Roman"/>
                <w:b/>
                <w:bCs/>
                <w:i/>
                <w:iCs/>
                <w:sz w:val="24"/>
                <w:szCs w:val="24"/>
              </w:rPr>
              <w:t xml:space="preserve">bao </w:t>
            </w:r>
            <w:r>
              <w:rPr>
                <w:rFonts w:ascii="Times New Roman" w:eastAsia="Times New Roman" w:hAnsi="Times New Roman" w:cs="Times New Roman"/>
                <w:sz w:val="24"/>
                <w:szCs w:val="24"/>
              </w:rPr>
              <w:t xml:space="preserve">gồm các tài liệu </w:t>
            </w:r>
            <w:r>
              <w:rPr>
                <w:rFonts w:ascii="Times New Roman" w:eastAsia="Times New Roman" w:hAnsi="Times New Roman" w:cs="Times New Roman"/>
                <w:strike/>
                <w:sz w:val="24"/>
                <w:szCs w:val="24"/>
              </w:rPr>
              <w:t>sau đây:</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về đối tượng yêu cầu bảo hộ giống cây trồng và các tài liệu khá quan.</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a) Tờ khai đăng ký theo mẫu quy định;</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b) Ảnh chụp, tờ khai kỹ thuật theo mẫu quy định;</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c) Văn bản uỷ quyền, nếu đơn được nộp thông qua đại diện;</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d) Tài liệu chứng minh quyền đăng ký, nếu người đăng ký là người được chuyển giao quyền đăng ký;</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đ) Tài liệu chứng minh quyền ưu tiên, nếu đơn có yêu cầu hưởng quyền ưu tiên;</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trike/>
                <w:sz w:val="24"/>
                <w:szCs w:val="24"/>
              </w:rPr>
              <w:t>e) Chứng từ nộp phí, lệ phí.</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i/>
                <w:iCs/>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Đơn đăng ký bảo hộ và các giấy tờ giao dịch giữa người đăng ký và cơ quan quản lý nhà nước về quyền đối với giống cây trồng phải được làm bằng tiếng Việt, trừ </w:t>
            </w:r>
            <w:r>
              <w:rPr>
                <w:rFonts w:ascii="Times New Roman" w:eastAsia="Times New Roman" w:hAnsi="Times New Roman" w:cs="Times New Roman"/>
                <w:b/>
                <w:bCs/>
                <w:i/>
                <w:iCs/>
                <w:sz w:val="24"/>
                <w:szCs w:val="24"/>
              </w:rPr>
              <w:t>một số</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các</w:t>
            </w:r>
            <w:r>
              <w:rPr>
                <w:rFonts w:ascii="Times New Roman" w:eastAsia="Times New Roman" w:hAnsi="Times New Roman" w:cs="Times New Roman"/>
                <w:sz w:val="24"/>
                <w:szCs w:val="24"/>
              </w:rPr>
              <w:t xml:space="preserve"> tài liệu </w:t>
            </w:r>
            <w:r>
              <w:rPr>
                <w:rFonts w:ascii="Times New Roman" w:eastAsia="Times New Roman" w:hAnsi="Times New Roman" w:cs="Times New Roman"/>
                <w:strike/>
                <w:sz w:val="24"/>
                <w:szCs w:val="24"/>
              </w:rPr>
              <w:t>sau đây</w:t>
            </w:r>
            <w:r>
              <w:rPr>
                <w:rFonts w:ascii="Times New Roman" w:eastAsia="Times New Roman" w:hAnsi="Times New Roman" w:cs="Times New Roman"/>
                <w:sz w:val="24"/>
                <w:szCs w:val="24"/>
              </w:rPr>
              <w:t xml:space="preserve"> có thể được làm bằng ngôn ngữ khác nhưng phải được dịch ra tiếng Việt khi </w:t>
            </w:r>
            <w:r>
              <w:rPr>
                <w:rFonts w:ascii="Times New Roman" w:eastAsia="Times New Roman" w:hAnsi="Times New Roman" w:cs="Times New Roman"/>
                <w:b/>
                <w:bCs/>
                <w:i/>
                <w:iCs/>
                <w:sz w:val="24"/>
                <w:szCs w:val="24"/>
              </w:rPr>
              <w:t>có</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cơ quan quản lý nhà nước về quyền đối với giống cây trồng</w:t>
            </w:r>
            <w:r>
              <w:rPr>
                <w:rFonts w:ascii="Times New Roman" w:eastAsia="Times New Roman" w:hAnsi="Times New Roman" w:cs="Times New Roman"/>
                <w:sz w:val="24"/>
                <w:szCs w:val="24"/>
              </w:rPr>
              <w:t xml:space="preserve"> yêu cầu</w:t>
            </w:r>
            <w:r>
              <w:rPr>
                <w:rFonts w:ascii="Times New Roman" w:eastAsia="Times New Roman" w:hAnsi="Times New Roman" w:cs="Times New Roman"/>
                <w:b/>
                <w:bCs/>
                <w:i/>
                <w:iCs/>
                <w:sz w:val="24"/>
                <w:szCs w:val="24"/>
              </w:rPr>
              <w:t>.</w:t>
            </w:r>
            <w:r>
              <w:rPr>
                <w:rFonts w:ascii="Times New Roman" w:eastAsia="Times New Roman" w:hAnsi="Times New Roman" w:cs="Times New Roman"/>
                <w:strike/>
                <w:sz w:val="24"/>
                <w:szCs w:val="24"/>
              </w:rPr>
              <w:t>:</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a) Văn bản uỷ quyền;</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b) Tài liệu chứng minh quyền đăng ký;</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c) Tài liệu chứng minh quyền ưu tiên;</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trike/>
                <w:sz w:val="24"/>
                <w:szCs w:val="24"/>
              </w:rPr>
              <w:t>d) Các tài liệu khác để bổ trợ cho đơn.</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Dân tộc và Tôn giáo</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xác định danh mục tài liệu có thể được làm bằng ngôn ngữ khác nhưng phải được dịch ra tiếng Việt khi có yêu cầu để áp dụng thống nhất trong thực hiện.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pacing w:after="0" w:line="240" w:lineRule="auto"/>
              <w:ind w:right="-9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Điều 174 được sửa đổi theo hướng chỉ quy định khung và giao Chính phủ quy định chi tiết nhằm bảo đảm tính ổn định của Luật theo tinh thần của Nghị quyết số 66-NQ/TW và phù hợp với chủ trương về đơn giản hóa thủ tục hành chính (luật chỉ quy định những vấn đề khung, những vấn đề có tính nguyên tắc thuộc thẩm quyền của Quốc hội, còn những vấn đề thực tiễn thường xuyên biến động thì giao Chính phủ, Bộ, ngành, địa phương quy định để bảo đảm linh hoạt, phù hợp với thực tiễn). Theo đó, các tài liệu phải dịch ra Tiếng Việt sẽ được quy định chi tiết tại Nghị định.</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Bổ sung khoản 5 vào sau khoản 4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i/>
                <w:iCs/>
                <w:sz w:val="24"/>
                <w:szCs w:val="24"/>
              </w:rPr>
              <w:t>“5. Chính phủ quy định chi tiết Điều này.”</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cho Điều 173 và Điều 177:</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quy định hoặc giao Chính phủ quy định rõ nội dung công bố tối thiểu, bao gồm số đơn, ngày nộp đơn, ngày ưu tiên, tên giống, loài cây, người nộp đơn, chủ sở hữu dự kiến, tác giả, đại diện, tình trạng pháp lý và các mốc xử lý chính.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công bố về đơn đăng ký bảo hộ giống cây trồng được thực hiện theo quy định của Chính phủ (quy định tại khoản 2 Điều 177).</w:t>
            </w:r>
          </w:p>
        </w:tc>
      </w:tr>
      <w:tr>
        <w:tc>
          <w:tcPr>
            <w:tcW w:w="3114" w:type="dxa"/>
          </w:tcPr>
          <w:p>
            <w:pPr>
              <w:shd w:val="clear" w:color="auto" w:fill="FFFFFF"/>
              <w:spacing w:before="40" w:after="40" w:line="240" w:lineRule="auto"/>
              <w:ind w:right="4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 Sửa đổi, bổ sung khoản 3 Điều 176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Cà Mau</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rà soát, lựa chọn phương án chính thức trước khi hoàn thiện hồ sơ trình cấp có thẩm quyền; đồng thời bảo đảm Tờ trình, Dự thảo Luật và Bản so sánh, thuyết minh thống nhất với nhau về phương án được lựa chọn.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ý kiến như sau: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soạn thảo sẽ tiếp tục rà soát, hoàn thiện và thống nhất phương án lựa chọn; đồng thời chỉnh lý Tờ trình, Dự thảo Luật, Bản so sánh, thuyết minh và các tài liệu có liên quan trong hồ sơ dự án Luật, bảo đảm tính thống nhất, đồng bộ trước khi trình cấp có thẩm quyền xem xét, quyết định.</w:t>
            </w:r>
          </w:p>
        </w:tc>
      </w:tr>
      <w:tr>
        <w:tc>
          <w:tcPr>
            <w:tcW w:w="3114" w:type="dxa"/>
          </w:tcPr>
          <w:p>
            <w:pPr>
              <w:shd w:val="clear" w:color="auto" w:fill="FFFFFF"/>
              <w:spacing w:before="40" w:after="40" w:line="240" w:lineRule="auto"/>
              <w:ind w:right="45"/>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Nếu Dự thảo chọn PA2, cần sửa PA2 theo hướng: </w:t>
            </w:r>
            <w:r>
              <w:rPr>
                <w:rFonts w:ascii="Times New Roman" w:eastAsia="Times New Roman" w:hAnsi="Times New Roman" w:cs="Times New Roman"/>
                <w:b/>
                <w:bCs/>
                <w:i/>
                <w:iCs/>
                <w:sz w:val="24"/>
                <w:szCs w:val="24"/>
                <w:u w:val="single"/>
              </w:rPr>
              <w:t>“Hết thời hạn thẩm định hình thức, nếu đơn không thuộc trường hợp bị từ chối và cơ quan quản lý không ban hành thông báo từ chối hoặc yêu cầu sửa chữa, bổ sung thì đơn được coi là hợp lệ về hình thức.”</w:t>
            </w:r>
            <w:r>
              <w:rPr>
                <w:rFonts w:ascii="Times New Roman" w:eastAsia="Times New Roman" w:hAnsi="Times New Roman" w:cs="Times New Roman"/>
                <w:sz w:val="24"/>
                <w:szCs w:val="24"/>
              </w:rPr>
              <w:t xml:space="preserve"> Đồng thời quy định trách nhiệm cập nhật tình trạng đơn và chuyển công bố. Nếu không thiết kế đầy đủ cơ chế này thì nên chọn PA1.</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131/2025/QH15 đã có hiệu lực nhưng Điều 176 vẫn duy trì cơ chế thông báo chấp nhận đơn;  Vì vậy không thể góp ý PA2 chỉ bằng câu “đơn không bị từ chối thì được coi là hợp lệ”; phải xử lý thời điểm hợp lệ, trách nhiệm cơ quan quản lý và hệ quả pháp lý.</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ý kiến góp ý.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được xây dựng theo hướng quy định tại Điều 176 các nguyên tắc chung về thẩm định hình thức và xác định tính hợp lệ về hình thức của đơn đăng ký bảo hộ giống cây trồng, không quy định chi tiết quy trình, trình tự xử lý đơn tại Luật.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đó, các nội dung về thời điểm xác định đơn hợp lệ về hình thức, việc thông báo hoặc yêu cầu sửa chữa, bổ sung đơn, trách nhiệm của cơ quan quản lý nhà nước về quyền đối với giống cây trồng trong việc cập nhật tình trạng đơn, chuyển sang công bố và các hệ quả pháp lý có liên quan sẽ được rà soát, quy định cụ thể tại văn bản hướng dẫn thi hành, bảo đảm quy trình xử lý đơn rõ ràng, liên tục và xác định được trách nhiệm của cơ quan quản lý.</w:t>
            </w: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3. Cơ quan quản lý nhà nước về quyền đối với giống cây trồng thực hiện các thủ tục sau đây:</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 xml:space="preserve">a) Thông báo từ chối chấp nhận đơn đối với các trường hợp quy định tại điểm c khoản 2 Điều này, trong đó nêu rõ lý do từ chối; </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b) Thông báo cho người đăng k‎ý khắc phục những thiếu sót trong trường hợp quy định tại điểm a khoản 2 Điều này và ấn định trong thời hạn ba mươi ngày, kể từ ngày nhận được thông báo, người đăng k‎ý phải khắc phục các thiếu sót đó;</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c) Thông báo từ chối chấp nhận đơn, nếu người đăng k‎ý không khắc phục thiếu sót hoặc không có ý kiến xác đáng phản đối thông báo quy định tại điểm b khoản này;</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d) Thông báo chấp nhận đơn, yêu cầu người đăng ký gửi mẫu giống đến cơ sở khảo nghiệm để tiến hành khảo nghiệm kỹ thuật trong thời hạn ba mươi ngày trước thời vụ gieo trồng đầu tiên, kể từ ngày ban hành thông báo chấp nhận đơn đăng ký bảo hộ giống cây trồng đó, trừ trường hợp giống cây trồng do người đăng ký tự khảo nghiệm theo quy định tại khoản 2 Điều 178 của Luật này nếu đơn này hợp lệ hoặc người đăng ký khắc phục thiếu sót đạt yêu cầu hoặc có ý kiến xác đáng phản đối thông báo quy định tại điểm b khoản này. Trường hợp người đăng ký tự thực hiện khảo nghiệm kỹ thuật, việc khảo nghiệm phải được bắt đầu thực hiện trong thời hạn hai mươi tư tháng kể từ ngày đơn được chấp nhận hợp lệ. Quá thời hạn trên người đăng ký chưa bắt đầu thực hiện tự khảo nghiệm thì đơn đăng ký bảo hộ giống cây trồng được coi như đã rút tại thời điểm kết thúc thời hạn đó.</w:t>
            </w:r>
          </w:p>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“PA1:</w:t>
            </w:r>
            <w:r>
              <w:rPr>
                <w:rFonts w:ascii="Times New Roman" w:eastAsia="Times New Roman" w:hAnsi="Times New Roman" w:cs="Times New Roman"/>
                <w:b/>
                <w:bCs/>
                <w:i/>
                <w:iCs/>
                <w:sz w:val="24"/>
                <w:szCs w:val="24"/>
              </w:rPr>
              <w:t xml:space="preserve"> 3. Chính phủ quy định chi tiết việc thẩm định hình thức đơn đăng ký bảo hộ giống cây trồng.</w:t>
            </w:r>
            <w:r>
              <w:rPr>
                <w:rFonts w:ascii="Times New Roman" w:eastAsia="Times New Roman" w:hAnsi="Times New Roman" w:cs="Times New Roman"/>
                <w:b/>
                <w:bCs/>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Lạng Sơn</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phương án 1</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Thẩm định hình thức đơn đăng ký bảo hộ giống cây trồng chủ yếu mang tính thủ tục, kỹ thuật nghiệp vụ, có thể cần điều chỉnh theo thực tiễn. Do đó, giao Chính phủ quy định chi tiết sẽ bảo đảm tính linh hoạt, kịp thời, đồng thời phân định rõ Luật quy định nguyên tắc, điều kiện; Chính phủ quy định trình tự, nội dung, cách thức thực hiện, tránh đưa các quy định nghiệp vụ vào Luật, hạn chế phải sửa đổi Luật khi quy trình quản lý đơn được điều chỉnh.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 tổng hợp ý kiến, nhiều cơ quan, tổ chức lựa chọn PA2. Phương án này quy định tại Luật nguyên tắc xác định đơn hợp lệ về hình thức và việc chuyển đơn để công bố nhằm bảo đảm rõ ràng, minh bạch về tình trạng pháp lý của đơn; đồng thời vẫn giao Chính phủ quy định chi tiết việc thẩm định hình thức để bảo đảm tính linh hoạt, phù hợp với thực tiễn. Do đó, cơ quan soạn thảo đề xuất lựa chọn PA2.</w:t>
            </w:r>
          </w:p>
        </w:tc>
      </w:tr>
      <w:t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Gia Lai</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cân nhắc lựa chọn phương án 1 nhằm bảo đảm tính thống nhất trong quy định về thẩm định hình thức đơn đăng ký bảo hộ giống cây trồng và thuận lợi trong việc quy định chi tiết, tổ chức thực hiện.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giải trình như sau: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 tổng hợp ý kiến, nhiều cơ quan, tổ chức lựa chọn PA2. Phương án này quy định tại Luật nguyên tắc xác định đơn hợp lệ về hình thức và việc chuyển đơn để công bố nhằm bảo đảm rõ ràng, minh bạch về tình trạng pháp lý của đơn; đồng thời vẫn giao Chính phủ quy định chi tiết việc thẩm định hình thức để bảo đảm tính linh hoạt, phù hợp với thực tiễn. Do đó, cơ quan soạn thảo đề xuất lựa chọn PA2.</w:t>
            </w:r>
          </w:p>
        </w:tc>
      </w:tr>
      <w:t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Ủng hộ Phương án 1 và đồng thời sửa đổi khoản 1 Điều 177 Luật SHTT như sau “Đơn đăng ký bảo hộ hợp lệ về hình thức được công bố trên Công báo về giống cây trồng trong thời ba mươi ngày, kể từ ngày đơn được coi là hợp lệ </w:t>
            </w:r>
            <w:r>
              <w:rPr>
                <w:rFonts w:ascii="Times New Roman" w:eastAsia="Times New Roman" w:hAnsi="Times New Roman" w:cs="Times New Roman"/>
                <w:b/>
                <w:bCs/>
                <w:i/>
                <w:iCs/>
                <w:sz w:val="24"/>
                <w:szCs w:val="24"/>
              </w:rPr>
              <w:t>được chuyển để công bố.</w:t>
            </w:r>
            <w:r>
              <w:rPr>
                <w:rFonts w:ascii="Times New Roman" w:eastAsia="Times New Roman" w:hAnsi="Times New Roman" w:cs="Times New Roman"/>
                <w:sz w:val="24"/>
                <w:szCs w:val="24"/>
              </w:rPr>
              <w: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Ghi nhận ý kiến góp ý. Qua tổng hợp ý kiến, nhiều cơ quan, tổ chức lựa chọn PA2. Phương án này quy định tại Luật nguyên tắc xác định đơn hợp lệ về hình thức và việc chuyển đơn để công bố nhằm bảo đảm rõ ràng, minh bạch về tình trạng pháp lý của đơn; đồng thời vẫn giao Chính phủ quy định chi tiết việc thẩm định hình thức để bảo đảm tính linh hoạt, phù hợp với thực tiễn. Do đó, cơ quan soạn thảo đề xuất lựa chọn PA2.</w:t>
            </w:r>
          </w:p>
        </w:tc>
      </w:tr>
      <w:t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Ninh, Sở NNMT Phú Thọ</w:t>
            </w:r>
          </w:p>
        </w:tc>
        <w:tc>
          <w:tcPr>
            <w:tcW w:w="595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PA1</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giải trình như sau: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 tổng hợp ý kiến, nhiều cơ quan, tổ chức lựa chọn PA2. Phương án này quy định tại Luật nguyên tắc xác định đơn hợp lệ về hình thức và việc chuyển đơn để công bố nhằm bảo đảm rõ ràng, minh bạch về tình trạng pháp lý của đơn; đồng thời vẫn giao Chính phủ quy định chi tiết việc thẩm định hình thức để bảo đảm tính linh hoạt, phù hợp với thực tiễn. Do đó, cơ quan soạn thảo đề xuất lựa chọn PA2.</w:t>
            </w: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sz w:val="24"/>
                <w:szCs w:val="24"/>
              </w:rPr>
              <w:t>“PA2:</w:t>
            </w:r>
            <w:r>
              <w:rPr>
                <w:rFonts w:ascii="Times New Roman" w:eastAsia="Times New Roman" w:hAnsi="Times New Roman" w:cs="Times New Roman"/>
                <w:b/>
                <w:bCs/>
                <w:i/>
                <w:iCs/>
                <w:sz w:val="24"/>
                <w:szCs w:val="24"/>
              </w:rPr>
              <w:t xml:space="preserve"> 3. Đơn đăng ký bảo hộ không thuộc các trường hợp quy định tại khoản 2 Điều này được coi là đơn hợp lệ về hình thức và được công bố theo quy định tại Điều 177 của Luật này. Ngày đơn được chuyển để công bố là ngày đơn được coi là hợp lệ về hình thức.</w:t>
            </w:r>
          </w:p>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b/>
                <w:bCs/>
                <w:i/>
                <w:iCs/>
                <w:sz w:val="24"/>
                <w:szCs w:val="24"/>
              </w:rPr>
              <w:t>Chính phủ quy định chi tiết việc thẩm định hình thức đơn đăng ký bảo hộ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chọn PA2.</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PA2 giữ ở cấp Luật nguyên tắc: đơn không thuộc các trường hợp không hợp lệ thì được coi là hợp lệ và chuyển công bố. Đây là bảo đảm trạng thái pháp lý rõ ràng, giảm discretion và tránh hồ sơ bị “treo”; Chính phủ chỉ cần quy định chi tiết cách thức thẩm định. PA2 tốt hơn vì: tạo trạng thái pháp lý rõ; hạn chế discretion; tránh hồ sơ bị treo; phù hợp mục tiêu đơn giản hoá.</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lựa chọn PA2.</w:t>
            </w: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Thông tấn xã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Chọn “PA2” vì bảo đảm tính minh bạch, rõ ràng, thống nhất và khả thi trong quá trình giải quyết đơn đăng ký bảo hộ giống cây trồng.</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Công ty TNHH ADASTRA IP </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Đối với hai phương án tại khoản 3 Điều 176, chúng tôi kiến nghị Ban soạn thảo ưu tiên lựa chọn Phương án 2 (PA2).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Lý do lựa chọn: Phương án 2 quy định cụ thể nguyên tắc: Đơn đăng ký bảo hộ không thuộc các trường hợp quy định tại khoản 2 Điều này được coi là đơn hợp lệ về hình thức và được công bố theo quy định tại Điều 177... Ngày đơn được chuyển để công bố là ngày đơn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được coi là hợp lệ về hình thức. Đồng thời, giao Chính phủ quy định chi tiết việc thẩm định.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Quy định như vậy đảm bảo tính minh bạch, rõ ràng về mặt pháp lý ngay trong Luật, giúp người nộp đơn xác định được quyền lợi hợp pháp và thời điểm phát sinh hiệu lực của đơn. Trong khi đó, Phương án 1 ủy quyền toàn bộ cho Chính phủ quy định chi tiết, điều này có thể dẫn đến sự thiếu thống nhất và giảm tính pháp lý trực tiếp của văn bản luật.</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Đồng Nai, Sở KHCN TP Cần Thơ, Sở KHCN Bắc Ninh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Thống nhất Phương án 2</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Phương án này quy định rõ ràng tiêu chí xác định ngày đơn hợp lệ giúp đảm bảo tính minh bạch, hạn chế việc phải chờ văn bản hướng dẫn xác định được thời điểm quyền và nghĩa vụ phát sinh của người nộp đơn</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Phương án 2 vì quy tắc suy đoán hợp lệ (Điều 176) là loại quy phạm ảnh hưởng trực tiếp đến quyền, thuộc thẩm quyền của Quốc hội theo tinh thần Nghị quyết số 66-NQ/TW.</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Trị, Sở KHCN Tuyên Quang</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Kiến nghị lựa chọn Phương án 2 vì quy định cụ thể, rõ ràng, chặt chẽ hơn về thời điểm đơn được coi là hợp lệ hình thức, tạo cơ sở pháp lý minh bạch cho tổ chức, cá nhân theo dõi tiến độ xử lý đơn.</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Tây Ninh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chọn PA2, vì PA2 thể hiện tính minh bạch, cải cách thủ tục hành chính và hạn chế việc cơ quan thực hiện phải chờ văn bản dưới luật mới xác định được nguyên tắc xử lý.</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Hà Tĩnh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xem xét lựa chọn Phương án 2.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Phương án quy định rõ nguyên tắc về tính hợp lệ của đơn đăng ký ngay trong Luật, giúp bảo vệ minh bạch quyền lợi của tổ chức, cá nhân; phương án này chốt được mốc thời gian pháp lý cốt lõi (ngày đơn được chuyển công bố là ngày hợp lệ), làm căn cứ để giải quyết các vấn đề xác lập quyền sở hữu trí tuệ. Mặt khác, quy định này vẫn đáp ứng tốt yêu cầu cải cách thủ tục hành chính khi tiếp tục giao Chính phủ hướng dẫn chi tiết các bước kỹ thuật, bảo đảm sự linh hoạt trong quá trình thực thi</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chọn PA2. Vì PA2 phù hợp hơn với mục tiêu đơn giản hóa thủ tục và tăng tính minh bạch cho người nộp đơn. Việc quy định rõ cơ chế đơn được coi là hợp lệ nếu không thuộc trường hợp không hợp lệ sẽ giúp giảm tùy nghi hành chính, tăng khả năng dự đoán và tạo điều kiện cho việc công bố đơn đúng thời hạn.</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Khánh Hoà</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lựa chọn PA2. Phương án này quy định rõ thời điểm đơn được coi là hợp lệ về hình thức và thời điểm đơn được chuyển để công bố. Quy định như vậy góp phần bảo đảm tính minh bạch, thống nhất trong quá trình xử lý đơn, tạo thuận lợi cho người nộp đơn và hạn chế cách hiểu khác nhau trong thực tiễn áp dụng.</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Vĩnh Long</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lựa chọn Phương án 2, theo hướng quy định ngay trong Luật nguyên tắc xác định đơn hợp lệ về hình thức và thời điểm đơn được chuyển để công bố, đồng thời giao Chính phủ quy định chi tiết việc thẩm định hình thức. Cách quy định này giúp tổ chức, cá nhân có căn cứ pháp lý rõ ràng hơn để xác định tình trạng pháp lý của đơn, đồng thời vẫn bảo đảm tính linh hoạt khi quy định chi tiết về trình tự, thủ tục.</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Dân tộc và Tôn giáo, Sở NNMT Quảng Ninh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PA2</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UBND TP Huế</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PA2</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Việc xác định đơn hợp lệ về hình thức trên cơ sở các trường hợp loại trừ cụ thể sẽ góp phần đơn giản hóa thủ tục hành chính, rút ngắn thời gian xử lý đơn, tạo thuận lợi cho tổ chức, cá nhân đăng ký.</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An Giang</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PA2. Phương án này quy định rõ ràng tiêu chí xác định ngày đơn hợp lệ giúp đảm bảo tính minh bạch, hạn chế việc phải chờ văn bản hướng dẫn xác định được thời điểm quyền và nghĩa vụ phát sinh của người nộp đơn</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Đại học Quốc gia TP HCM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lựa chọn Phương án 2, đồng thời sửa quy định về thời điểm đơn được coi là hợp lệ theo hướng:</w:t>
            </w:r>
          </w:p>
          <w:p>
            <w:pPr>
              <w:shd w:val="clear" w:color="auto" w:fill="FFFFFF"/>
              <w:spacing w:before="40" w:after="40" w:line="240" w:lineRule="auto"/>
              <w:ind w:right="114"/>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“3. Đơn đăng ký bảo hộ không thuộc các trường hợp quy định tại khoản 2 Điều này được coi là hợp lệ về hình thức </w:t>
            </w:r>
            <w:r>
              <w:rPr>
                <w:rFonts w:ascii="Times New Roman" w:eastAsia="Times New Roman" w:hAnsi="Times New Roman" w:cs="Times New Roman"/>
                <w:b/>
                <w:bCs/>
                <w:i/>
                <w:iCs/>
                <w:sz w:val="24"/>
                <w:szCs w:val="24"/>
                <w:u w:val="single"/>
              </w:rPr>
              <w:t>kể từ ngày kết thúc thời hạn thẩm định hình thức quy định tại khoản 1 Điều này, trừ trường hợp cơ quan quản lý nhà nước về quyền đối với giống cây trồng đã có thông báo về việc đơn không hợp lệ.</w:t>
            </w:r>
          </w:p>
          <w:p>
            <w:pPr>
              <w:shd w:val="clear" w:color="auto" w:fill="FFFFFF"/>
              <w:spacing w:before="40" w:after="40" w:line="240" w:lineRule="auto"/>
              <w:ind w:right="114"/>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Chính phủ quy định chi tiết việc thẩm định hình thức đơn đăng ký bảo hộ giống cây trồng.”</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 với Phương án 1, Phương án 2 có ưu điểm là xác định tính hợp lệ của việc hoàn thành thẩm định đơn về hình thức. Tuy nhiên, việc lấy “ngày đơn được chuyển để công bố” làm ngày đơn được coi là hợp lệ có thể chưa phù hợp, bởi vì việc chuyển hồ sơ để công bố về bản chất là một thao tác hành chính nội bộ của cơ quan quản lý. Quyền và tình trạng pháp lý của người nộp đơn không nên phụ thuộc vào thời điểm thực hiện một thao tác nội bộ mà người nộp đơn không có khả năng kiểm soát hoặc xác định.</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việc sử dụng một mốc thời gian khách quan sẽ tăng tính minh bạch và phù hợp với khoản 1 Điều này, hạn chế việc quyền của người nộp đơn phụ thuộc vào tiến độ xử lý nội bộ của cơ quan nhà nước.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r>
              <w:rPr>
                <w:rFonts w:ascii="Times New Roman" w:eastAsia="Times New Roman" w:hAnsi="Times New Roman" w:cs="Times New Roman"/>
                <w:sz w:val="24"/>
                <w:szCs w:val="24"/>
              </w:rPr>
              <w:br/>
              <w:t>Quy định này tương tự với quy định tại khoản 4 Điều 109 của Luật SHTT (sửa đổi, bổ sung năm 2025). Theo đó, dự  kiến ở văn bản quy định chi tiết sẽ làm rõ: hằng tuần, cơ quan quản lý nhà nước sẽ  đăng tải trên Cổng thông tin điện tử danh sách các đơn đăng ký sáng chế được chuyển công bố, trong đó ghi ro số đơn, ngày nộp đơn và ngày chuyển công bố của từng đơn.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Sửa đổi, bổ sung Điều 177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177. Công bố đơn đăng ký bảo hộ</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1. Trường hợp đơn được chấp nhận hợp lệ, cơ quan quản lý nhà nước về quyền đối với giống cây trồng công bố đơn hợp lệ trên tạp chí chuyên ngành về giống cây trồng trong thời hạn chín mươi ngày, kể từ ngày đơn được chấp nhận.</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1. Đơn đăng ký bảo hộ hợp lệ về hình thức được công bố trên Công báo về giống cây trồng trong thời hạn ba mươi ngày, kể từ ngày đơn được coi là hợp lệ.</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rút thời hạn công bố đơn từ 90 ngày xuống 30 ngày nhưng phải thống nhất với cơ chế tại Điều 176.</w:t>
            </w:r>
          </w:p>
          <w:p>
            <w:pPr>
              <w:shd w:val="clear" w:color="auto" w:fill="FFFFFF"/>
              <w:spacing w:before="40" w:after="40" w:line="240" w:lineRule="auto"/>
              <w:ind w:right="11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Nếu giữ PA1, sửa theo hướng: </w:t>
            </w:r>
            <w:r>
              <w:rPr>
                <w:rFonts w:ascii="Times New Roman" w:eastAsia="Times New Roman" w:hAnsi="Times New Roman" w:cs="Times New Roman"/>
                <w:b/>
                <w:bCs/>
                <w:i/>
                <w:iCs/>
                <w:sz w:val="24"/>
                <w:szCs w:val="24"/>
                <w:u w:val="single"/>
              </w:rPr>
              <w:t>“Đơn được chấp nhận hợp lệ được công bố... trong thời hạn 30 ngày kể từ ngày đơn được chấp nhận.”</w:t>
            </w:r>
            <w:r>
              <w:rPr>
                <w:rFonts w:ascii="Times New Roman" w:eastAsia="Times New Roman" w:hAnsi="Times New Roman" w:cs="Times New Roman"/>
                <w:sz w:val="24"/>
                <w:szCs w:val="24"/>
              </w:rPr>
              <w:t xml:space="preserve"> Nếu chọn PA2 thì phải quy định: </w:t>
            </w:r>
            <w:r>
              <w:rPr>
                <w:rFonts w:ascii="Times New Roman" w:eastAsia="Times New Roman" w:hAnsi="Times New Roman" w:cs="Times New Roman"/>
                <w:b/>
                <w:bCs/>
                <w:i/>
                <w:iCs/>
                <w:sz w:val="24"/>
                <w:szCs w:val="24"/>
                <w:u w:val="single"/>
              </w:rPr>
              <w:t>“30 ngày kể từ ngày đơn được coi là hợp lệ về hình thức theo khoản 3 Điều 176.”</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Không thể sửa Điều 177 độc lập với Điều 176. Nếu thay đổi mốc </w:t>
            </w:r>
            <w:r>
              <w:rPr>
                <w:rFonts w:ascii="Times New Roman" w:eastAsia="Times New Roman" w:hAnsi="Times New Roman" w:cs="Times New Roman"/>
                <w:b/>
                <w:bCs/>
                <w:i/>
                <w:iCs/>
                <w:sz w:val="24"/>
                <w:szCs w:val="24"/>
              </w:rPr>
              <w:t>“được chấp nhận”</w:t>
            </w:r>
            <w:r>
              <w:rPr>
                <w:rFonts w:ascii="Times New Roman" w:eastAsia="Times New Roman" w:hAnsi="Times New Roman" w:cs="Times New Roman"/>
                <w:sz w:val="24"/>
                <w:szCs w:val="24"/>
              </w:rPr>
              <w:t xml:space="preserve"> sang </w:t>
            </w:r>
            <w:r>
              <w:rPr>
                <w:rFonts w:ascii="Times New Roman" w:eastAsia="Times New Roman" w:hAnsi="Times New Roman" w:cs="Times New Roman"/>
                <w:b/>
                <w:bCs/>
                <w:i/>
                <w:iCs/>
                <w:sz w:val="24"/>
                <w:szCs w:val="24"/>
                <w:u w:val="single"/>
              </w:rPr>
              <w:t>“được coi là hợp lệ”</w:t>
            </w:r>
            <w:r>
              <w:rPr>
                <w:rFonts w:ascii="Times New Roman" w:eastAsia="Times New Roman" w:hAnsi="Times New Roman" w:cs="Times New Roman"/>
                <w:sz w:val="24"/>
                <w:szCs w:val="24"/>
              </w:rPr>
              <w:t xml:space="preserve"> thì phải sửa đồng bộ để tránh khoảng trống về cách tính thời hạn.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lựa chọn PA2 tại khoản 3 Điều 176, theo đó đã xác định ngày đơn được chuyển để công bố là ngày đơn được coi là hợp lệ về hình thức. Do đó, thời hạn 30 ngày quy định tại khoản 1 Điều 177 được tính kể từ ngày đơn được coi là hợp lệ theo quy định tại khoản 3 Điều 176, bảo đảm có căn cứ xác định cụ thể, thống nhất giữa hai điều và không tạo khoảng trống trong cách tính thời hạn. Vì vậy, đề nghị giữ nguyên quy định tại khoản 1 Điều 177 của Dự thảo.</w:t>
            </w: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bảo đảm Công báo về giống cây trồng được đăng tải trên Cổng thông tin điện tử dễ tra cứu, miễn phí truy cập, đồng thời có hướng dẫn cụ thể, thông báo rộng rãi về sự thay đổi này để các tổ chức, cá nhân không bỏ lỡ thông tin công bố trong giai đoạn chuyển đổi phương thức công bố.</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ý kiến góp ý:</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soạn thảo sẽ nghiên cứu, quy định cụ thể phương thức công bố, đăng tải và khai thác Công báo về giống cây trồng tại văn bản hướng dẫn thi hành, bảo đảm công khai, thuận tiện trong tra cứu và tiếp cận thông tin. Đồng thời, trong quá trình chuyển đổi phương thức công bố sẽ thực hiện thông tin, hướng dẫn phù hợp để các tổ chức, cá nhân kịp thời tiếp cận, theo dõi các thông tin được công bố.</w:t>
            </w: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Thanh tra Chính phủ</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về đề xuất sửa đổi các quy định về thông báo, công bố trên tạp chí chuyên ngành về giống cây trồng bằng việc công bố trên Công báo về giống cây trồng tại Điều 170, 173, 177, 181:</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trang 9-10 dự thảo Tờ trình, cơ quan chủ trì soạn thảo đề xuất thay đổi hình thức công bố thông tin về giống cây trồng từ công bố trên tạp chí chuyên ngành về giống cây trồng sang công bố trên Công báo về giống cây trồng nhằm thống nhất với phương thức công bố các quyết định, thông báo về sở hữu trí tuệ của Bộ Khoa học và Công nghệ, bảo đảm tính thống nhất trong tổ chức thực hiện và tạo thuận lợi cho công chúng tiếp cận thông tin.</w:t>
            </w:r>
          </w:p>
          <w:p>
            <w:pPr>
              <w:shd w:val="clear" w:color="auto" w:fill="FFFFFF"/>
              <w:spacing w:before="40" w:after="40" w:line="240" w:lineRule="auto"/>
              <w:ind w:right="11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Theo đó, dự thảo Luật sửa đổi các quy định có liên quan, trong đó Điều 177 sửa đổi theo hướng: </w:t>
            </w:r>
            <w:r>
              <w:rPr>
                <w:rFonts w:ascii="Times New Roman" w:eastAsia="Times New Roman" w:hAnsi="Times New Roman" w:cs="Times New Roman"/>
                <w:b/>
                <w:bCs/>
                <w:i/>
                <w:iCs/>
                <w:sz w:val="24"/>
                <w:szCs w:val="24"/>
                <w:u w:val="single"/>
              </w:rPr>
              <w:t>“Đơn đăng ký bảo hộ hợp lệ về hình thức được công bố trên Công báo về giống cây trồng trong thời hạn ba mươi ngày, kể từ ngày đơn được coi là hợp lệ”.</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Thanh tra Chính phủ nhận thấy, việc chuyển đổi hình thức công bố nêu trên chưa làm rõ đầy đủ khả năng tiếp cận thông tin của các tổ chức, cá nhân có liên quan, nhất là trong bối cảnh đẩy mạnh chuyển đổi số và đa dạng hóa phương thức cung cấp, khai thác thông tin. Do đó, đề nghị cơ quan chủ trì soạn thảo nghiên cứu quy định theo hướng kết hợp Công báo về giống cây trồng với các hình thức công bố, cung cấp thông tin trên môi trường điện tử và các phương thức phù hợp khác, bảo đảm thông tin về giống cây trồng được công bố kịp thời, đầy đủ, dễ tiếp cận, đồng thời phù hợp với yêu cầu chuyển đổi số trong quản lý nhà nước về sở hữu trí tuệ và giống cây trồng.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ý kiến góp ý: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soạn thảo sẽ tiếp tục rà soát, hoàn thiện các quy định liên quan theo hướng Công báo về giống cây trồng là hình thức công bố thông tin chính thức, đồng thời bảo đảm Công báo và các thông tin liên quan được đăng tải, cung cấp trên môi trường điện tử, tạo thuận lợi cho tổ chức, cá nhân tra cứu, khai thác và tiếp cận thông tin kịp thời, đầy đủ.</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Phương thức đăng tải, cung cấp và khai thác thông tin cụ thể sẽ được nghiên cứu, quy định tại văn bản hướng dẫn thi hành, bảo đảm phù hợp với yêu cầu chuyển đổi số, công khai, minh bạch và thuận tiện trong tiếp cận thông tin về giống cây trồng</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Nội dung công bố đơn </w:t>
            </w:r>
            <w:r>
              <w:rPr>
                <w:rFonts w:ascii="Times New Roman" w:eastAsia="Times New Roman" w:hAnsi="Times New Roman" w:cs="Times New Roman"/>
                <w:b/>
                <w:bCs/>
                <w:i/>
                <w:iCs/>
                <w:sz w:val="24"/>
                <w:szCs w:val="24"/>
              </w:rPr>
              <w:t xml:space="preserve">đăng ký bảo hộ </w:t>
            </w:r>
            <w:r>
              <w:rPr>
                <w:rFonts w:ascii="Times New Roman" w:eastAsia="Times New Roman" w:hAnsi="Times New Roman" w:cs="Times New Roman"/>
                <w:strike/>
                <w:sz w:val="24"/>
                <w:szCs w:val="24"/>
              </w:rPr>
              <w:t>gồm số đơn, ngày nộp đơn, đại diện (nếu có), người đăng ký, chủ sở hữu, tên giống cây trồng, tên loài cây trồng, ngày đơn được chấp nhận là đơn hợp lệ</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trên Công báo về giống cây trồng thực hiện theo quy định của Chính phủ.</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Sửa đổi, bổ sung khoản 2 và khoản 3 của Điều 178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Bắc Ninh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nghiên cứu bổ sung quy định cơ chế công nhận, sử dụng kết quả của cơ sở giáo dục đại học, viện nghiên cứu, tổ chức khoa học và công nghệ đáp ứng điều kiện nhằm huy động năng lực nghiên cứu nhưng không làm giảm độ tin cậy của kết quả khảo nghiệm.</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đã quy định theo hướng mở, cho phép khảo nghiệm kỹ thuật được thực hiện bởi người đăng ký hoặc tổ chức, cá nhân khác. Theo đó, cơ sở giáo dục đại học, viện nghiên cứu, tổ chức khoa học và công nghệ đều có thể tham gia thực hiện khảo nghiệm kỹ thuật.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soạn thảo sẽ tiếp tục nghiên cứu, quy định cụ thể tại văn bản hướng dẫn thi hành về việc khảo nghiệm kỹ thuật do các tổ chức, cá nhân thực hiện, bảo đảm huy động năng lực chuyên môn, cơ sở vật chất hiện có, đồng thời bảo đảm tính khách quan, độ tin cậy và chất lượng của kết quả khảo nghiệm</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quy định rõ trong nghị định hướng dẫn về điều kiện công nhận hoặc sử dụng kết quả khảo nghiệm DUS đã có, bao gồm yêu cầu về loài cây, điều kiện khảo nghiệm, bộ giống đối chứng, thời điểm khảo nghiệm, tiêu chuẩn kỹ thuật và độ tin cậy của cơ quan/tổ chức thực hiện khảo nghiệm. UPOV đã có hướng dẫn về giống có nguồn gốc chủ yếu và hệ thống DUS, nhưng các hướng dẫn này mang tính kỹ thuật và cần được nội luật hóa bằng tiêu chuẩn đánh giá cụ thể.</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ý kiến góp ý: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Trên cơ sở nguyên tắc sử dụng kết quả khảo nghiệm kỹ thuật đã có được quy định tại dự thảo Luật, cơ quan soạn thảo sẽ tiếp tục nghiên cứu, quy định cụ thể tại văn bản hướng dẫn thi hành về việc sử dụng kết quả khảo nghiệm DUS đã có.</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xây dựng các hướng dẫn kỹ thuật  cụ thể sẽ được nghiên cứu trên cơ sở hài hòa với hướng dẫn kỹ thuật của UPOV, phù hợp với điều kiện thực tiễn của Việt Nam.</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Khảo nghiệm kỹ thuật là tiến hành các </w:t>
            </w:r>
            <w:r>
              <w:rPr>
                <w:rFonts w:ascii="Times New Roman" w:eastAsia="Times New Roman" w:hAnsi="Times New Roman" w:cs="Times New Roman"/>
                <w:strike/>
                <w:sz w:val="24"/>
                <w:szCs w:val="24"/>
              </w:rPr>
              <w:t>thí nghiệm</w:t>
            </w:r>
            <w:r>
              <w:rPr>
                <w:rFonts w:ascii="Times New Roman" w:eastAsia="Times New Roman" w:hAnsi="Times New Roman" w:cs="Times New Roman"/>
                <w:b/>
                <w:bCs/>
                <w:i/>
                <w:iCs/>
                <w:sz w:val="24"/>
                <w:szCs w:val="24"/>
              </w:rPr>
              <w:t xml:space="preserve">biện pháp đánh giá cần thiết </w:t>
            </w:r>
            <w:r>
              <w:rPr>
                <w:rFonts w:ascii="Times New Roman" w:eastAsia="Times New Roman" w:hAnsi="Times New Roman" w:cs="Times New Roman"/>
                <w:sz w:val="24"/>
                <w:szCs w:val="24"/>
              </w:rPr>
              <w:t xml:space="preserve">nhằm xác định tính khác biệt, tính đồng nhất và tính ổn định của giống cây trồng </w:t>
            </w:r>
            <w:r>
              <w:rPr>
                <w:rFonts w:ascii="Times New Roman" w:eastAsia="Times New Roman" w:hAnsi="Times New Roman" w:cs="Times New Roman"/>
                <w:b/>
                <w:bCs/>
                <w:i/>
                <w:iCs/>
                <w:sz w:val="24"/>
                <w:szCs w:val="24"/>
              </w:rPr>
              <w:t>(khảo nghiệm DUS)</w:t>
            </w:r>
            <w:r>
              <w:rPr>
                <w:rFonts w:ascii="Times New Roman" w:eastAsia="Times New Roman" w:hAnsi="Times New Roman" w:cs="Times New Roman"/>
                <w:sz w:val="24"/>
                <w:szCs w:val="24"/>
              </w:rPr>
              <w:t xml:space="preserve">.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khảo nghiệm kỹ thuật do</w:t>
            </w:r>
            <w:r>
              <w:rPr>
                <w:rFonts w:ascii="Times New Roman" w:eastAsia="Times New Roman" w:hAnsi="Times New Roman" w:cs="Times New Roman"/>
                <w:b/>
                <w:bCs/>
                <w:i/>
                <w:iCs/>
                <w:sz w:val="24"/>
                <w:szCs w:val="24"/>
              </w:rPr>
              <w:t xml:space="preserve"> người đăng ký tự thực hiện hoặc</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cơ quan nhà nước có thẩm quyền</w:t>
            </w:r>
            <w:r>
              <w:rPr>
                <w:rFonts w:ascii="Times New Roman" w:eastAsia="Times New Roman" w:hAnsi="Times New Roman" w:cs="Times New Roman"/>
                <w:b/>
                <w:bCs/>
                <w:i/>
                <w:iCs/>
                <w:strike/>
                <w:sz w:val="24"/>
                <w:szCs w:val="24"/>
              </w:rPr>
              <w:t xml:space="preserve"> </w:t>
            </w:r>
            <w:r>
              <w:rPr>
                <w:rFonts w:ascii="Times New Roman" w:eastAsia="Times New Roman" w:hAnsi="Times New Roman" w:cs="Times New Roman"/>
                <w:strike/>
                <w:sz w:val="24"/>
                <w:szCs w:val="24"/>
              </w:rPr>
              <w:t>hoặc</w:t>
            </w:r>
            <w:r>
              <w:rPr>
                <w:rFonts w:ascii="Times New Roman" w:eastAsia="Times New Roman" w:hAnsi="Times New Roman" w:cs="Times New Roman"/>
                <w:sz w:val="24"/>
                <w:szCs w:val="24"/>
              </w:rPr>
              <w:t xml:space="preserve"> tổ chức, cá nhân </w:t>
            </w:r>
            <w:r>
              <w:rPr>
                <w:rFonts w:ascii="Times New Roman" w:eastAsia="Times New Roman" w:hAnsi="Times New Roman" w:cs="Times New Roman"/>
                <w:b/>
                <w:bCs/>
                <w:i/>
                <w:iCs/>
                <w:sz w:val="24"/>
                <w:szCs w:val="24"/>
              </w:rPr>
              <w:t>khác</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có năng lực tiến hành khảo nghiệm giống cây trồng</w:t>
            </w:r>
            <w:r>
              <w:rPr>
                <w:rFonts w:ascii="Times New Roman" w:eastAsia="Times New Roman" w:hAnsi="Times New Roman" w:cs="Times New Roman"/>
                <w:sz w:val="24"/>
                <w:szCs w:val="24"/>
              </w:rPr>
              <w:t xml:space="preserve"> thực hiện</w:t>
            </w:r>
            <w:r>
              <w:rPr>
                <w:rFonts w:ascii="Times New Roman" w:eastAsia="Times New Roman" w:hAnsi="Times New Roman" w:cs="Times New Roman"/>
                <w:strike/>
                <w:sz w:val="24"/>
                <w:szCs w:val="24"/>
              </w:rPr>
              <w:t>theo quy định của Bộ Nông nghiệp và Môi trường Chính phủ</w:t>
            </w:r>
            <w:r>
              <w:rPr>
                <w:rFonts w:ascii="Times New Roman" w:eastAsia="Times New Roman" w:hAnsi="Times New Roman" w:cs="Times New Roman"/>
                <w:b/>
                <w:bCs/>
                <w:i/>
                <w:iCs/>
                <w:sz w:val="24"/>
                <w:szCs w:val="24"/>
              </w:rPr>
              <w:t>hoặc cơ quan nhà nước có thẩm quyền thực hiện, bao gồm cả cơ quan bảo hộ giống cây trồng của thành viên Công ước UPOV.</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quản lý nhà nước về quyền đối với giống cây trồng có thể sử dụng kết quả khảo nghiệm kỹ thuật đã có trước đó.”</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T&amp;G VN</w:t>
            </w:r>
          </w:p>
        </w:tc>
        <w:tc>
          <w:tcPr>
            <w:tcW w:w="5954" w:type="dxa"/>
          </w:tcPr>
          <w:p>
            <w:pPr>
              <w:shd w:val="clear" w:color="auto" w:fill="FFFFFF"/>
              <w:spacing w:before="40" w:after="40" w:line="240" w:lineRule="auto"/>
              <w:ind w:right="3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làm rõ vấn đề tự thực hiện hoặc người khác thực hiện là như nào. Bởi trên thực tế khi nộp đơn các công ty luật là người đại diện để nộp không có điều kiện tự khảo nghiệm thì cần thực hiện như nào.</w:t>
            </w:r>
          </w:p>
          <w:p>
            <w:pPr>
              <w:shd w:val="clear" w:color="auto" w:fill="FFFFFF"/>
              <w:spacing w:before="40" w:after="40" w:line="240" w:lineRule="auto"/>
              <w:ind w:right="3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Ngoài ra thì mặc dù luật cho phép áp dụng các kết quả khảo nghiệm của các quốc gia thành viên của UPOV nhưng Nghị định lại chỉ cho phép các quốc gia thành viên nào ký hiệp định song phương với Việt Nam về vấn đề giống cây trồng thì mới được. </w:t>
            </w:r>
          </w:p>
          <w:p>
            <w:pPr>
              <w:shd w:val="clear" w:color="auto" w:fill="FFFFFF"/>
              <w:spacing w:before="40" w:after="40" w:line="240" w:lineRule="auto"/>
              <w:ind w:right="3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Ngoài ra chúng tôi đề xuất mở rộng phạm vi sử dụng kết quả khảo nghiệm dưới dạng trao đổi của các quốc gia không phải thành viên của UPOV để rút ngắn thời gian khảo nghiệm tại Việt Nam.</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quy định các hình thức thực hiện khảo nghiệm kỹ thuật theo hướng mở, bao gồm người đăng ký tự thực hiện, tổ chức, cá nhân khác thực hiện hoặc cơ quan nhà nước có thẩm quyền thực hiện. Quy định này nhằm xác lập nguyên tắc và các hình thức khảo nghiệm kỹ thuật ở cấp Luật, không đồng nghĩa với việc mọi người đăng ký hoặc người đại diện nộp đơn đều phải có đủ điều kiện và trực tiếp thực hiện khảo nghiệm. Trường hợp người đăng ký không có điều kiện tự thực hiện khảo nghiệm có thể lựa chọn hình thức phù hợp theo quy định. Các điều kiện, yêu cầu, trình tự thực hiện và việc công nhận, sử dụng kết quả khảo nghiệm của từng hình thức sẽ tiếp tục được nghiên cứu, quy định cụ thể tại Nghị định, bảo đảm tính khả thi và phù hợp với thực tiễn.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cũng đang đưa ra nguyên tắc “có thể sử dụng kết quả khảo nghiệm kỹ thuật đã có trước đó” chính là sử dụng kết quả khảo nghiệm DUS của các quốc gia thành viên UPOV. Trên cơ sở quy định của Luật, các điều kiện, phạm vi, phương thức trao đổi, tiếp nhận và sử dụng kết quả khảo nghiệm kỹ thuật của nước ngoài sẽ được nghiên cứu, quy định cụ thể tại Nghị định, đồng thời rà soát các quy định hiện hành để bảo đảm thống nhất, phù hợp với các cam kết quốc tế và yêu cầu thực tiễn.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Đối với đề xuất mở rộng việc sử dụng kết quả khảo nghiệm kỹ thuật của quốc gia không phải là thành viên Công ước UPOV, Ban soạn thảo ghi nhận và sẽ tiếp tục nghiên cứu, rà soát trên cơ sở đánh giá khả năng bảo đảm độ tin cậy của kết quả khảo nghiệm, sự tương thích về phương pháp, điều kiện khảo nghiệm và cơ chế kiểm soát, xác minh kết quả, qua đó tạo điều kiện rút ngắn thời gian khảo nghiệm nhưng vẫn bảo đảm yêu cầu về chất lượng và độ tin cậy của kết quả phục vụ việc xác lập quyền đối với giống cây trồng.</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3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Dự thảo đưa nhiều nội dung khảo nghiệm kỹ thuật xuống văn bản dưới luật. Tuy nhiên nên giữ trong Luật các nguyên tắc: khảo nghiệm nhằm xác định tính khác biệt, tính đồng nhất, tính ổn định; kết quả phải khách quan, tin cậy và có giá trị làm căn cứ thẩm định điều kiện bảo hộ. </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Khoản 2 Điều 178 của dự thảo luật vẫn giữ nguyên tắc: 2. Khảo nghiệm kỹ thuật là tiến hành các </w:t>
            </w:r>
            <w:r>
              <w:rPr>
                <w:rFonts w:ascii="Times New Roman" w:eastAsia="Times New Roman" w:hAnsi="Times New Roman" w:cs="Times New Roman"/>
                <w:strike/>
                <w:sz w:val="24"/>
                <w:szCs w:val="24"/>
              </w:rPr>
              <w:t>thí nghiệm</w:t>
            </w:r>
            <w:r>
              <w:rPr>
                <w:rFonts w:ascii="Times New Roman" w:eastAsia="Times New Roman" w:hAnsi="Times New Roman" w:cs="Times New Roman"/>
                <w:b/>
                <w:bCs/>
                <w:i/>
                <w:iCs/>
                <w:sz w:val="24"/>
                <w:szCs w:val="24"/>
              </w:rPr>
              <w:t xml:space="preserve">biện pháp đánh giá cần thiết </w:t>
            </w:r>
            <w:r>
              <w:rPr>
                <w:rFonts w:ascii="Times New Roman" w:eastAsia="Times New Roman" w:hAnsi="Times New Roman" w:cs="Times New Roman"/>
                <w:sz w:val="24"/>
                <w:szCs w:val="24"/>
              </w:rPr>
              <w:t xml:space="preserve">nhằm xác định tính khác biệt, tính đồng nhất và tính ổn định của giống cây trồng </w:t>
            </w:r>
            <w:r>
              <w:rPr>
                <w:rFonts w:ascii="Times New Roman" w:eastAsia="Times New Roman" w:hAnsi="Times New Roman" w:cs="Times New Roman"/>
                <w:b/>
                <w:bCs/>
                <w:i/>
                <w:iCs/>
                <w:sz w:val="24"/>
                <w:szCs w:val="24"/>
              </w:rPr>
              <w:t>(khảo nghiệm DUS)</w:t>
            </w:r>
            <w:r>
              <w:rPr>
                <w:rFonts w:ascii="Times New Roman" w:eastAsia="Times New Roman" w:hAnsi="Times New Roman" w:cs="Times New Roman"/>
                <w:sz w:val="24"/>
                <w:szCs w:val="24"/>
              </w:rPr>
              <w:t>. Nội dung chi tiết về khảo nghiệm kỹ thuật hiện nay cũng đã được quy định chi tiết tại Nghị định 79/2023/NĐ-CP.</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shd w:val="clear" w:color="auto" w:fill="FFFFFF"/>
              <w:spacing w:before="40" w:after="40" w:line="240" w:lineRule="auto"/>
              <w:ind w:right="3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 dụng tên đầy đủ của Công ước UPOV là Công ước về Bảo hộ giống cây trồng mới</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dự thảo Luật.</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ind w:right="3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Nghị định hướng dẫn quy định rõ, minh bạch tiêu chí công nhận "tổ chức, cá nhân có năng lực" khảo nghiệm để tạo thuận lợi cho các đơn vị nghiên cứu giống thuộc doanh nghiệp (như Viện Nghiên cứu Cao su Việt Nam) được công nhận và tự thực hiện khảo nghiệm, rút ngắn thời gian xác lập quyền.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về mục tiêu tạo thuận lợi cho các tổ chức, cá nhân tham gia thực hiện khảo nghiệm kỹ thuật. Theo Nghị quyết số 66.19/2026/NQ-CP ngày 18/5/2026 của Chính phủ, điều kiện kinh doanh đối với hoạt động khảo nghiệm giống cây trồng và thủ tục công nhận tổ chức khảo nghiệm giống cây trồng đã được bãi bỏ. Do đó, dự thảo Luật không quy định điều kiện hoặc cơ chế công nhận “tổ chức, cá nhân có năng lực” thực hiện khảo nghiệm.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Văn bản quy định chi tiết sẽ quy định cụ thể về việc thực hiện khảo nghiệm kỹ thuật; trách nhiệm của tổ chức, cá nhân thực hiện và cơ chế kiểm tra, đánh giá kết quả khảo nghiệm, bảo đảm kết quả khảo nghiệm DUS chính xác, khách quan và có độ tin cậy phục vụ việc xác lập quyền đối với giống cây trồng.</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b/>
                <w:bCs/>
                <w:sz w:val="24"/>
                <w:szCs w:val="24"/>
              </w:rPr>
              <w:t xml:space="preserve"> </w:t>
            </w:r>
            <w:r>
              <w:rPr>
                <w:rFonts w:ascii="Times New Roman" w:eastAsia="Times New Roman" w:hAnsi="Times New Roman" w:cs="Times New Roman"/>
                <w:strike/>
                <w:sz w:val="24"/>
                <w:szCs w:val="24"/>
              </w:rPr>
              <w:t>Thời hạn thẩm định kết quả khảo nghiệm kỹ thuật là sáu mươi ngày, kể từ ngày nhận được kết quả khảo nghiệm kỹ thuật</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Chính phủ quy định chi tiết việc khảo nghiệm kỹ thuật và việc thẩm định nội dung đơn đăng ký bảo hộ giống cây trồng.</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114" w:firstLine="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Giao Chính phủ quy định phương pháp, chỉ tiêu, quy trình và yêu cầu kỹ thuật cụ thể. Cần phân biệt tiêu chí pháp lý để xác lập quyền với phương pháp kỹ thuật để đánh giá tiêu chí đó. Những tiêu chí có ảnh hưởng trực tiếp đến quyền bảo hộ không nên hoàn toàn giao cho Nghị định.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về nguyên tắc phân biệt giữa điều kiện pháp lý để xác lập quyền và các yêu cầu, phương pháp kỹ thuật để đánh giá việc đáp ứng các điều kiện đó. Các điều kiện bảo hộ giống cây trồng, bao gồm tính mới, tính khác biệt, tính đồng nhất, tính ổn định và tên giống cây trồng, đã được quy định tại Luật.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Khoản 3 Điều 178 chỉ giao Chính phủ quy định chi tiết việc tổ chức thực hiện khảo nghiệm kỹ thuật và thẩm định nội dung đơn, trong đó bao gồm phương pháp, quy trình, yêu cầu kỹ thuật và các nội dung cần thiết để đánh giá việc đáp ứng các điều kiện bảo hộ đã được Luật quy định, không giao Chính phủ quy định thêm các điều kiện pháp lý làm phát sinh hoặc hạn chế quyền bảo hộ.</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giữ quy định tại khoản 3 Điều 178 của dự thảo Luật; các nội dung mang tính kỹ thuật, nghiệp vụ sẽ được quy định cụ thể tại văn bản hướng dẫn thi hành để bảo đảm tính ổn định của Luật và phù hợp với thực tiễn</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Bổ sung khoản 3 vào sau khoản 2 Điều 179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b/>
                <w:bCs/>
                <w:i/>
                <w:iCs/>
                <w:sz w:val="24"/>
                <w:szCs w:val="24"/>
              </w:rPr>
              <w:t>3. Chính phủ quy định chi tiết Điều này.</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 Sửa đổi, bổ sung Điều 182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Điều 182. Từ chối cấp Bằng bảo hộ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Đơn đăng ký bảo hộ bị từ chối cấp Bằng bảo hộ giống cây trồng trong</w:t>
            </w:r>
            <w:r>
              <w:rPr>
                <w:rFonts w:ascii="Times New Roman" w:eastAsia="Times New Roman" w:hAnsi="Times New Roman" w:cs="Times New Roman"/>
                <w:b/>
                <w:bCs/>
                <w:i/>
                <w:iCs/>
                <w:sz w:val="24"/>
                <w:szCs w:val="24"/>
              </w:rPr>
              <w:t xml:space="preserve"> các </w:t>
            </w:r>
            <w:r>
              <w:rPr>
                <w:rFonts w:ascii="Times New Roman" w:eastAsia="Times New Roman" w:hAnsi="Times New Roman" w:cs="Times New Roman"/>
                <w:sz w:val="24"/>
                <w:szCs w:val="24"/>
              </w:rPr>
              <w:t xml:space="preserve">trường hợp </w:t>
            </w:r>
            <w:r>
              <w:rPr>
                <w:rFonts w:ascii="Times New Roman" w:eastAsia="Times New Roman" w:hAnsi="Times New Roman" w:cs="Times New Roman"/>
                <w:strike/>
                <w:sz w:val="24"/>
                <w:szCs w:val="24"/>
              </w:rPr>
              <w:t>giống cây trồng không đáp ứng được các điều kiện quy định tại Điều 176 và Điều 178 của Luật này. Trong trường hợp từ chối cấp Bằng bảo hộ giống cây trồng, cơ quan quản lý nhà nước về quyền đối với giống cây trồng thực hiện các thủ tục</w:t>
            </w:r>
            <w:r>
              <w:rPr>
                <w:rFonts w:ascii="Times New Roman" w:eastAsia="Times New Roman" w:hAnsi="Times New Roman" w:cs="Times New Roman"/>
                <w:b/>
                <w:bCs/>
                <w:i/>
                <w:iCs/>
                <w:sz w:val="24"/>
                <w:szCs w:val="24"/>
              </w:rPr>
              <w:t xml:space="preserve"> </w:t>
            </w:r>
            <w:r>
              <w:rPr>
                <w:rFonts w:ascii="Times New Roman" w:eastAsia="Times New Roman" w:hAnsi="Times New Roman" w:cs="Times New Roman"/>
                <w:sz w:val="24"/>
                <w:szCs w:val="24"/>
              </w:rPr>
              <w:t>sau đây:</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muốn chuyển chi tiết thủ tục từ chối xuống Nghị định.</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Chúng tôi đồng ý có thể đưa thời hạn, mẫu thông báo, cách thức trả lời xuống dưới luật.</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Nhưng quyền được biết căn cứ dự định từ chối và được trình bày ý kiến nên nằm trong Luật. </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bổ sung khoản cuối: </w:t>
            </w:r>
            <w:r>
              <w:rPr>
                <w:rFonts w:ascii="Times New Roman" w:eastAsia="Times New Roman" w:hAnsi="Times New Roman" w:cs="Times New Roman"/>
                <w:b/>
                <w:bCs/>
                <w:i/>
                <w:iCs/>
                <w:sz w:val="24"/>
                <w:szCs w:val="24"/>
                <w:u w:val="single"/>
              </w:rPr>
              <w:t>“Trước khi từ chối cấp Bằng bảo hộ giống cây trồng, cơ quan quản lý nhà nước về quyền đối với giống cây trồng phải thông báo căn cứ dự định từ chối và tạo cơ hội để người nộp đơn sửa chữa thiếu sót có thể khắc phục hoặc trình bày ý kiến trong thời hạn hợp lý. Chính phủ quy định chi tiết trình tự, thời hạn thực hiện.”</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ghi nhận ý kiến góp ý. Dự thảo Luật được xây dựng theo hướng quy định các trường hợp từ chối cấp Bằng bảo hộ giống cây trồng, còn trình tự, thủ tục thực hiện được giao Chính phủ quy định chi tiết. Theo đó, cơ quan soạn thảo sẽ tiếp tục rà soát và quy định cụ thể tại văn bản quy định chi tiết về việc thông báo căn cứ dự định từ chối, thời hạn và quyền của người đăng ký trong việc sửa chữa thiếu sót có thể khắc phục hoặc trình bày ý kiến trước khi cơ quan có thẩm quyền quyết định từ chối cấp Bằng bảo hộ, bảo đảm quyền, lợi ích hợp pháp của người đăng ký và tính minh bạch trong quá trình xử lý đơn. Do đó, đề nghị không bổ sung nội dung này tại Luật và sẽ cụ thể hóa trong văn bản quy định chi tiết thi hành.</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Đại học Quốc gia TP HCM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một khoản tại Điều 182 theo hướng trước khi ra quyết định từ chối cấp Bằng bảo hộ giống cây trồng, cơ quan quản lý nhà nước phải thông báo cho người đăng ký về căn cứ dự kiến từ chối và ấn định thời hạn hợp lý để người đăng ký có ý kiến hoặc khắc phục thiếu sót, trừ trường hợp thiếu sót không thể khắc phục.</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đề nghị rà soát và bỏ khoản 5 Điều 182. Trường hợp vẫn giữ quy định này, cần làm rõ đây là trường hợp tính không hợp lệ về hình thức chỉ được phát hiện sau khi đơn đã được chấp nhận do có sai sót trong quá trình thẩm định.</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So với Luật Sở hữu trí tuệ hiện hành, Dự thảo đã bỏ nội dung về thông báo dự định từ chối và cơ hội để người đăng ký khắc phục thiếu sót hoặc trình bày ý kiến. Đây là một thủ tục quan trọng trước khi cơ quan nhà nước ban hành quyết định từ chối cấp Bẳng bảo hộ nên cần được tiếp tục ghi nhận ở cấp Luật.</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Bên cạnh đó, khoản 5 chưa bảo đảm logic của trình tự xử lý đơn. Trường hợp đơn không hợp lệ theo khoản 2 Điều 176 thuộc giai đoạn thẩm định hình thức thì về nguyên tắc đơn đó không được tiếp tục chuyển sang thẩm định nội dung và xem xét cấp Bằng. Việc tiếp tục coi đây là một căn cứ từ chối cấp Bằng có thể dẫn đến chồng lấn giữa hai giai đoạn của thủ tục.</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1. Thông báo về dự định từ chối cấp Bằng bảo hộ giống cây trồng, trong đó phải nêu rõ lý do và ấn định thời hạn để người đăng k‎ý khắc phục thiếu sót hoặc có ý kiến phản đối dự định từ chối;</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1. Có cơ sở để khẳng định rằng đối tượng nêu trong đơn không đáp ứng đầy đủ các điều kiện bảo hộ.</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2. Thông báo từ chối cấp Bằng bảo hộ giống cây trồng nếu người đăng k‎ý không khắc phục được các thiếu sót và không có ý kiến xác đáng phản đối dự định từ chối quy định tại khoản 1 Điều này;</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2. Có cơ sở để khẳng định rằng người nộp đơn không có quyền đăng ký bảo hộ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3. Thực hiện các thủ tục quy định tại Điều 183 của Luật này, nếu người đăng k‎ý khắc phục được các thiếu sót hoặc có ý kiến xác đáng phản đối dự định từ chối quy định tại khoản 1 Điều này.</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3. Đơn thuộc trường hợp quy định tại khoản 1 Điều 166 của Luật này mà người nộp đơn không phải là người đăng ký hợp lệ sớm nhất.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bookmarkStart w:id="1" w:name="_heading=h.x4usuqab5or0" w:colFirst="0" w:colLast="0"/>
            <w:bookmarkEnd w:id="1"/>
            <w:r>
              <w:rPr>
                <w:rFonts w:ascii="Times New Roman" w:eastAsia="Times New Roman" w:hAnsi="Times New Roman" w:cs="Times New Roman"/>
                <w:b/>
                <w:bCs/>
                <w:i/>
                <w:iCs/>
                <w:sz w:val="24"/>
                <w:szCs w:val="24"/>
              </w:rPr>
              <w:t>4. Đơn thuộc trường hợp quy định tại khoản 2 Điều 166 của Luật này mà người nộp đơn không phải là người đầu tiên chọn tạo hoặc</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i/>
                <w:iCs/>
                <w:sz w:val="24"/>
                <w:szCs w:val="24"/>
              </w:rPr>
              <w:t>phát hiện và phát triển giống cây trồng hoặc đầu tư cho chọn tạo hoặc phát hiện và phát triển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5. Đơn bị coi là không hợp lệ theo quy định tại khoản 2 Điều 176 của Luật này.</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 Sửa đổi, bổ sung Điều 185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“Điều 185. Quyền tác giả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Bắc Ninh</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nghiên cứu đổi tên Điều 185 từ </w:t>
            </w:r>
            <w:r>
              <w:rPr>
                <w:rFonts w:ascii="Times New Roman" w:eastAsia="Times New Roman" w:hAnsi="Times New Roman" w:cs="Times New Roman"/>
                <w:b/>
                <w:bCs/>
                <w:i/>
                <w:iCs/>
                <w:sz w:val="24"/>
                <w:szCs w:val="24"/>
                <w:u w:val="single"/>
              </w:rPr>
              <w:t>“Quyền tác giả giống cây trồng”</w:t>
            </w:r>
            <w:r>
              <w:rPr>
                <w:rFonts w:ascii="Times New Roman" w:eastAsia="Times New Roman" w:hAnsi="Times New Roman" w:cs="Times New Roman"/>
                <w:sz w:val="24"/>
                <w:szCs w:val="24"/>
              </w:rPr>
              <w:t xml:space="preserve"> thành </w:t>
            </w:r>
            <w:r>
              <w:rPr>
                <w:rFonts w:ascii="Times New Roman" w:eastAsia="Times New Roman" w:hAnsi="Times New Roman" w:cs="Times New Roman"/>
                <w:b/>
                <w:bCs/>
                <w:i/>
                <w:iCs/>
                <w:sz w:val="24"/>
                <w:szCs w:val="24"/>
                <w:u w:val="single"/>
              </w:rPr>
              <w:t>“Tác giả giống cây trồng và quyền của tác giả”</w:t>
            </w:r>
            <w:r>
              <w:rPr>
                <w:rFonts w:ascii="Times New Roman" w:eastAsia="Times New Roman" w:hAnsi="Times New Roman" w:cs="Times New Roman"/>
                <w:sz w:val="24"/>
                <w:szCs w:val="24"/>
              </w:rPr>
              <w:t xml:space="preserve"> hoặc </w:t>
            </w:r>
            <w:r>
              <w:rPr>
                <w:rFonts w:ascii="Times New Roman" w:eastAsia="Times New Roman" w:hAnsi="Times New Roman" w:cs="Times New Roman"/>
                <w:b/>
                <w:bCs/>
                <w:i/>
                <w:iCs/>
                <w:sz w:val="24"/>
                <w:szCs w:val="24"/>
                <w:u w:val="single"/>
              </w:rPr>
              <w:t>“Quyền của tác giả giống cây trồng”</w:t>
            </w:r>
            <w:r>
              <w:rPr>
                <w:rFonts w:ascii="Times New Roman" w:eastAsia="Times New Roman" w:hAnsi="Times New Roman" w:cs="Times New Roman"/>
                <w:sz w:val="24"/>
                <w:szCs w:val="24"/>
              </w:rPr>
              <w:t>. Cách diễn đạt hiện tại dễ bị hiểu đồng nhất với “quyền tác giả” đối với tác phẩm thuộc lĩnh vực văn học, nghệ thuật và khoa học. Đồng thời, đề nghị làm rõ tiêu chí xác định mức độ đóng góp của đồng tác giả trong trường hợp hoạt động chọn tạo được thực hiện theo nhóm tại cơ sở nghiên cứu, cơ sở giáo dục.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giữ nguyên tên Điều 185 là “Quyền tác giả giống cây trồng”. Cách diễn đạt này đã xác định rõ đối tượng là quyền của tác giả đối với giống cây trồng, phù hợp với nội dung và vị trí của Điều trong Phần thứ tư của Luật về quyền đối với giống cây trồng, do đó không gây nhầm lẫn với quyền tác giả đối với tác phẩm văn học, nghệ thuật và khoa học.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Đối với trường hợp có đồng tác giả, việc xác định tác giả giống cây trồng căn cứ vào sự tham gia trực tiếp trong quá trình chọn tạo hoặc phát hiện và phát triển giống cây trồng; không cần thiết quy định tiêu chí xác định mức độ đóng góp của từng đồng tác giả, do mức độ đóng góp không phải là căn cứ để xác định quyền tác giả giống cây trồng theo quy định của Luật. Vì vậy, đề nghị không bổ sung nội dung này</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1. Tác giả giống cây trồng là người trực tiếp chọn tạo hoặc phát hiện và phát triển giống cây trồng mới; trường hợp có hai người trở lên cùng nhau trực tiếp chọn tạo hoặc phát hiện và phát triển giống cây trồng mới thì họ là đồng tác giả.</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đã đưa khái niệm tác giả, đồng tác giả giống cây trồng. Vấn đề cần bổ sung là quan hệ giữa tác giả với chủ thể có quyền đăng ký.</w:t>
            </w:r>
          </w:p>
          <w:p>
            <w:pPr>
              <w:shd w:val="clear" w:color="auto" w:fill="FFFFFF"/>
              <w:spacing w:before="40" w:after="40" w:line="240" w:lineRule="auto"/>
              <w:ind w:right="114"/>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Bổ sung:</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i/>
                <w:iCs/>
                <w:sz w:val="24"/>
                <w:szCs w:val="24"/>
                <w:u w:val="single"/>
              </w:rPr>
              <w:t>“Việc xác định tác giả, đồng tác giả giống cây trồng không làm ảnh hưởng đến việc xác định chủ thể có quyền đăng ký bảo hộ theo Điều 164 và Điều 165 của Luật này.”</w:t>
            </w:r>
          </w:p>
          <w:p>
            <w:pPr>
              <w:shd w:val="clear" w:color="auto" w:fill="FFFFFF"/>
              <w:spacing w:before="40" w:after="40" w:line="240" w:lineRule="auto"/>
              <w:ind w:right="11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tránh đồng nhất tác giả với người có quyền đăng ký/chủ bằng. Quyền đăng ký có thể thuộc tổ chức, cá nhân đầu tư hoặc chủ thể khác theo quy định của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Các quy định hiện hành của Luật đã phân biệt giữa tác giả giống cây trồng và tổ chức, cá nhân có quyền đăng ký bảo hộ giống cây trồng, không đồng nhất tác giả với người có quyền đăng ký hoặc chủ Bằng bảo hộ.</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quy định của Luật, quyền đăng ký bảo hộ có thể thuộc tổ chức, cá nhân trực tiếp chọn tạo hoặc phát hiện và phát triển giống cây trồng hoặc tổ chức, cá nhân đầu tư kinh phí, cơ sở vật chất cho việc chọn tạo hoặc phát hiện và phát triển giống cây trồng, trừ trường hợp các bên có thỏa thuận khác. Theo đó, trường hợp cá nhân trực tiếp chọn tạo hoặc phát hiện và phát triển giống cây trồng và đồng thời có quyền đăng ký thì người đó có thể vừa là tác giả, vừa là người có quyền đăng ký; trường hợp tổ chức, cá nhân đầu tư cho hoạt động chọn tạo thì chủ thể có quyền đăng ký có thể không phải là tác giả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mối quan hệ giữa tác giả và chủ thể có quyền đăng ký đã được xác định thông qua các quy định tương ứng của Luật và không cần thiết bổ sung quy định “việc xác định tác giả, đồng tác giả không làm ảnh hưởng đến việc xác định chủ thể có quyền đăng ký” như đề xuất.</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 xml:space="preserve">2. </w:t>
            </w:r>
            <w:r>
              <w:rPr>
                <w:rFonts w:ascii="Times New Roman" w:eastAsia="Times New Roman" w:hAnsi="Times New Roman" w:cs="Times New Roman"/>
                <w:sz w:val="24"/>
                <w:szCs w:val="24"/>
              </w:rPr>
              <w:t>Tác giả giống cây trồng có các quyền sau đây: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a)</w:t>
            </w:r>
            <w:r>
              <w:rPr>
                <w:rFonts w:ascii="Times New Roman" w:eastAsia="Times New Roman" w:hAnsi="Times New Roman" w:cs="Times New Roman"/>
                <w:strike/>
                <w:sz w:val="24"/>
                <w:szCs w:val="24"/>
              </w:rPr>
              <w:t>1.</w:t>
            </w:r>
            <w:r>
              <w:rPr>
                <w:rFonts w:ascii="Times New Roman" w:eastAsia="Times New Roman" w:hAnsi="Times New Roman" w:cs="Times New Roman"/>
                <w:sz w:val="24"/>
                <w:szCs w:val="24"/>
              </w:rPr>
              <w:t xml:space="preserve"> Được ghi tên với danh nghĩa là tác giả trong Bằng bảo hộ giống cây trồng, Sổ đăng ký quốc gia về giống cây trồng được bảo hộ và trong các tài liệu công bố về giống cây trồng;</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b)</w:t>
            </w:r>
            <w:r>
              <w:rPr>
                <w:rFonts w:ascii="Times New Roman" w:eastAsia="Times New Roman" w:hAnsi="Times New Roman" w:cs="Times New Roman"/>
                <w:strike/>
                <w:sz w:val="24"/>
                <w:szCs w:val="24"/>
              </w:rPr>
              <w:t>2.</w:t>
            </w:r>
            <w:r>
              <w:rPr>
                <w:rFonts w:ascii="Times New Roman" w:eastAsia="Times New Roman" w:hAnsi="Times New Roman" w:cs="Times New Roman"/>
                <w:sz w:val="24"/>
                <w:szCs w:val="24"/>
              </w:rPr>
              <w:t xml:space="preserve"> Nhận thù lao theo quy định tại Điều 191 của Luật này.”</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 Sửa đổi, bổ sung Điều 187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“Điều 187. Mở rộng quyền của chủ bằng bảo hộ</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 xml:space="preserve">1. </w:t>
            </w:r>
            <w:r>
              <w:rPr>
                <w:rFonts w:ascii="Times New Roman" w:eastAsia="Times New Roman" w:hAnsi="Times New Roman" w:cs="Times New Roman"/>
                <w:sz w:val="24"/>
                <w:szCs w:val="24"/>
              </w:rPr>
              <w:t>Quyền của chủ bằng bảo hộ được mở rộng đối với các giống cây trồng sau đây:</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rPr>
          <w:trHeight w:val="614"/>
        </w:trP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strike/>
                <w:sz w:val="24"/>
                <w:szCs w:val="24"/>
              </w:rPr>
              <w:t>1.</w:t>
            </w:r>
            <w:r>
              <w:rPr>
                <w:rFonts w:ascii="Times New Roman" w:eastAsia="Times New Roman" w:hAnsi="Times New Roman" w:cs="Times New Roman"/>
                <w:b/>
                <w:bCs/>
                <w:i/>
                <w:iCs/>
                <w:sz w:val="24"/>
                <w:szCs w:val="24"/>
              </w:rPr>
              <w:t>a)</w:t>
            </w:r>
            <w:r>
              <w:rPr>
                <w:rFonts w:ascii="Times New Roman" w:eastAsia="Times New Roman" w:hAnsi="Times New Roman" w:cs="Times New Roman"/>
                <w:sz w:val="24"/>
                <w:szCs w:val="24"/>
              </w:rPr>
              <w:t xml:space="preserve"> Giống cây trồng có nguồn gốc chủ yếu từ giống cây trồng được bảo hộ, trừ trường hợp giống cây trồng được bảo hộ có nguồn gốc chủ yếu từ một giống cây trồng đã được bảo hộ khác</w:t>
            </w:r>
            <w:r>
              <w:rPr>
                <w:rFonts w:ascii="Times New Roman" w:eastAsia="Times New Roman" w:hAnsi="Times New Roman" w:cs="Times New Roman"/>
                <w:strike/>
                <w:sz w:val="24"/>
                <w:szCs w:val="24"/>
              </w:rPr>
              <w:t>.</w:t>
            </w:r>
            <w:r>
              <w:rPr>
                <w:rFonts w:ascii="Times New Roman" w:eastAsia="Times New Roman" w:hAnsi="Times New Roman" w:cs="Times New Roman"/>
                <w:b/>
                <w:bCs/>
                <w:i/>
                <w:iCs/>
                <w:sz w:val="24"/>
                <w:szCs w:val="24"/>
              </w:rPr>
              <w:t>;</w:t>
            </w:r>
          </w:p>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trike/>
                <w:sz w:val="24"/>
                <w:szCs w:val="24"/>
              </w:rPr>
              <w:t>Giống cây trồng được coi là có nguồn gốc chủ yếu từ giống được bảo hộ, nếu giống cây trồng đó vẫn giữ lại biểu hiện của các tính trạng thu được từ kiểu gen hoặc sự phối hợp các kiểu gen của giống được bảo hộ, trừ những tính trạng khác biệt là kết quả của sự tác động vào giống được bảo hộ;</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Không đề nghị chuyển toàn bộ tiêu chuẩn giống có nguồn gốc chủ yếu xuống Nghị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Dự thảo đề nghị chuyển khái niệm giống có nguồn gốc chủ yếu từ giống được bảo hộ xuống Nghị định vì khoa học, công nghệ có thể thay đổi.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Chúng tôi cho rằng cần phân biệt: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Tiêu chuẩn pháp lý cốt lõi xác định phạm vi quyền;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Tiêu chí kỹ thuật/phương pháp đánh giá.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EDV quyết định trực tiếp phạm vi độc quyền của chủ bằng, vì vậy core legal test nên tiếp tục nằm ở Luật. Chính phủ có thể quy định các tiêu chí kỹ thuật, phương pháp, tài liệu chứng minh và cách đánh giá.</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giống có nguồn gốc chủ yếu quyết định trực tiếp phạm vi độc quyền của chủ bằng, nên “tiêu chuẩn pháp lý cốt lõi” phải nằm ở Luật; Nghị định chỉ nên quy định tiêu chí kỹ thuật, phương pháp và tài liệu đánh giá.</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giữ tại Luật nguyên tắc cốt lõi hiện hành về việc giống có nguồn gốc chủ yếu phải giữ biểu hiện của các tính trạng chủ yếu có nguồn gốc từ kiểu gen/tổ hợp kiểu gen của giống được bảo hộ; giao Chính phủ hướng dẫn kỹ thuật.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giữ nguyên quy định tai điểm a khoản 1. Chỉ bổ sung giao Chính phủ quy định chi tiết Điều này.</w:t>
            </w:r>
          </w:p>
        </w:tc>
      </w:tr>
      <w:tr>
        <w:trPr>
          <w:trHeight w:val="614"/>
        </w:trP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Khái niệm </w:t>
            </w:r>
            <w:r>
              <w:rPr>
                <w:rFonts w:ascii="Times New Roman" w:eastAsia="Times New Roman" w:hAnsi="Times New Roman" w:cs="Times New Roman"/>
                <w:b/>
                <w:bCs/>
                <w:i/>
                <w:iCs/>
                <w:sz w:val="24"/>
                <w:szCs w:val="24"/>
                <w:u w:val="single"/>
              </w:rPr>
              <w:t>"giống cây trồng có nguồn gốc chủ yếu"</w:t>
            </w:r>
            <w:r>
              <w:rPr>
                <w:rFonts w:ascii="Times New Roman" w:eastAsia="Times New Roman" w:hAnsi="Times New Roman" w:cs="Times New Roman"/>
                <w:sz w:val="24"/>
                <w:szCs w:val="24"/>
              </w:rPr>
              <w:t xml:space="preserve"> là nội dung cốt lõi xác định phạm vi độc quyền của chủ bằng bảo hộ, có ảnh hưởng trực tiếp đến quyền tài sản và giới hạn của ngoại lệ dành cho nhà chọn tạo giống. Nếu toàn bộ khái niệm này được giao xuống văn bản dưới luật, có thể phát sinh rủi ro về tính ổn định và tính dự đoán của phạm vi quyền.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vậy, chúng tôi đề nghị giữ tiêu chí cốt lõi về giống cây trồng có nguồn gốc chủ yếu ngay trong Luật, đồng thời giao Chính phủ quy định chi tiết phương pháp, tiêu chuẩn kỹ thuật và trình tự xác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Ban soạn thảo có thể cân nhắc bổ sung: </w:t>
            </w:r>
            <w:r>
              <w:rPr>
                <w:rFonts w:ascii="Times New Roman" w:eastAsia="Times New Roman" w:hAnsi="Times New Roman" w:cs="Times New Roman"/>
                <w:b/>
                <w:bCs/>
                <w:i/>
                <w:iCs/>
                <w:sz w:val="24"/>
                <w:szCs w:val="24"/>
                <w:u w:val="single"/>
              </w:rPr>
              <w:t>"Giống cây trồng có nguồn gốc chủ yếu từ giống cây trồng được bảo hộ là giống được dẫn xuất chủ yếu từ giống được bảo hộ hoặc từ giống khác cũng được dẫn xuất chủ yếu từ giống được bảo hộ, vẫn giữ biểu hiện của các đặc tính thiết yếu của giống được bảo hộ, đồng thời khác biệt rõ ràng với giống được bảo hộ. Chính phủ quy định chi tiết tiêu chí, phương pháp và trình tự xác định giống cây trồng có nguồn gốc chủ yếu."</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giữ nguyên quy định tai điểm a khoản 1. Chỉ bổ sung giao Chính phủ quy định chi tiết Điều này.</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strike/>
                <w:sz w:val="24"/>
                <w:szCs w:val="24"/>
              </w:rPr>
              <w:t>2.</w:t>
            </w:r>
            <w:r>
              <w:rPr>
                <w:rFonts w:ascii="Times New Roman" w:eastAsia="Times New Roman" w:hAnsi="Times New Roman" w:cs="Times New Roman"/>
                <w:b/>
                <w:bCs/>
                <w:i/>
                <w:iCs/>
                <w:sz w:val="24"/>
                <w:szCs w:val="24"/>
              </w:rPr>
              <w:t>b)</w:t>
            </w:r>
            <w:r>
              <w:rPr>
                <w:rFonts w:ascii="Times New Roman" w:eastAsia="Times New Roman" w:hAnsi="Times New Roman" w:cs="Times New Roman"/>
                <w:sz w:val="24"/>
                <w:szCs w:val="24"/>
              </w:rPr>
              <w:t xml:space="preserve"> Giống cây trồng không khác biệt rõ ràng với giống cây trồng đã được bảo hộ;</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trike/>
                <w:sz w:val="24"/>
                <w:szCs w:val="24"/>
              </w:rPr>
              <w:t>3.</w:t>
            </w:r>
            <w:r>
              <w:rPr>
                <w:rFonts w:ascii="Times New Roman" w:eastAsia="Times New Roman" w:hAnsi="Times New Roman" w:cs="Times New Roman"/>
                <w:b/>
                <w:bCs/>
                <w:i/>
                <w:iCs/>
                <w:sz w:val="24"/>
                <w:szCs w:val="24"/>
              </w:rPr>
              <w:t xml:space="preserve">c) </w:t>
            </w:r>
            <w:r>
              <w:rPr>
                <w:rFonts w:ascii="Times New Roman" w:eastAsia="Times New Roman" w:hAnsi="Times New Roman" w:cs="Times New Roman"/>
                <w:sz w:val="24"/>
                <w:szCs w:val="24"/>
              </w:rPr>
              <w:t>Giống cây trồng mà việc sản xuất đòi hỏi phải sử dụng lặp lại giống cây trồng đã được bảo hộ.</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right="114"/>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ind w:right="142"/>
              <w:jc w:val="both"/>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2. Chính phủ quy định chi tiết Điều này.</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có xu hướng giao toàn bộ việc xác định giống cây trồng “có nguồn gốc chủ yếu từ giống được bảo hộ” cho Chính phủ.</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Giữ trong Luật tiêu chí cốt lõi, ví dụ: giống được xem là có nguồn gốc chủ yếu nếu vẫn giữ các tính trạng thu được từ kiểu gen hoặc sự phối hợp các kiểu gen của giống được bảo hộ, trừ những khác biệt thuộc trường hợp Luật quy định; giao Chính phủ quy định phương pháp, chỉ tiêu kỹ thuật và trường hợp cụ thể.</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Tương đương Điều 178 ở trên cần phân biệt tiêu chí pháp lý để xác lập quyền với phương pháp kỹ thuật. Hơn nữa, đây không chỉ là vấn đề kỹ thuật mà liên quan trực tiếp đến phạm vi độc quyền của chủ bằng. Nếu toàn bộ tiêu chí được quy định ở Nghị định thì phạm vi quyền có thể thay đổi ở cấp dưới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giữ nguyên quy định tai điểm a khoản 1 . Chỉ bổ sung giao Chính phủ quy định chi tiết Điều này.</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đối với việc giao Chính phủ quy định chi tiết nhiều nội dung trước đây quy định trong Luật (Điều 176, 178, 179, 187,...)</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nhiều nội dung quan trọng, ảnh hưởng trực tiếp đến quyền lợi của người nộp đơn (thời hạn thẩm định, khái niệm "giống cây trồng có nguồn gốc chủ yếu" tại Điều 187, thủ tục sửa đổi đơn tại Điều 179...) sẽ được chuyển xuống Nghị định, đề nghị:</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Bộ Khoa học và Công nghệ ban hành đồng thời hoặc sớm nhất có thể các Nghị định, Thông tư hướng dẫn cùng thời điểm Luật có hiệu lực để tránh khoảng trống pháp lý;</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Tổ chức lấy ý kiến các doanh nghiệp, tổ chức nghiên cứu, chọn tạo giống cây trồng (trong đó có Tập đoàn) trong quá trình xây dựng các Nghị định, Thông tư hướng dẫn nêu trên, do đây là các đối tượng trực tiếp áp dụng và chịu tác động.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ý kiến góp ý và sẽ chủ động rà soát, xây dựng và trình ban hành các văn bản quy định chi tiết, hướng dẫn thi hành Luật, bảo đảm có hiệu lực đồng thời hoặc kịp thời với thời điểm Luật có hiệu lực, hạn chế phát sinh khoảng trống pháp lý và bảo đảm tính liên tục trong quá trình thực hiện các thủ tục xác lập quyền đối với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quá trình xây dựng các Nghị định, Thông tư hướng dẫn, cơ quan soạn thảo sẽ thực hiện việc lấy ý kiến theo quy định, đồng thời chú trọng tham vấn các doanh nghiệp, viện nghiên cứu, cơ sở giáo dục, tổ chức, cá nhân nghiên cứu, chọn tạo giống cây trồng và các đối tượng trực tiếp chịu tác động, nhằm bảo đảm các quy định chi tiết có tính khả thi, phù hợp với thực tiễn và bảo vệ quyền, lợi ích hợp pháp của các bên liên quan.</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18. Sửa đổi, bổ sung Điều 201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Báo cáo rà soát xác nhận Nghị quyết 66.17 và 66.18 đã loại bỏ điều kiện kinh doanh đối với dịch vụ giám định SHCN và các thủ tục cấp thẻ/giấy chứng nhận tương ứng. Chúng tôi đồng tình với mục tiêu giảm rào cản gia nhập thị trường.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bỏ điều kiện kinh doanh không đồng nghĩa với bỏ tiêu chuẩn nghề nghiệp.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thực tiễn thực thi quyền, kết luận giám định thường có ảnh hưởng rất lớn tới: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Quyết định xử phạt;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Lựa chọn biện pháp thực thi;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Quyết định tạm giữ/niêm phong;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Đánh giá khả năng xâm phạm;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Chiến lược tố tụng.</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sz w:val="24"/>
                <w:szCs w:val="24"/>
              </w:rPr>
              <w:t xml:space="preserve">Đề nghị không chọn nguyên PA1 hoặc PA2; nên theo mô hình </w:t>
            </w:r>
            <w:r>
              <w:rPr>
                <w:rFonts w:ascii="Times New Roman" w:eastAsia="Times New Roman" w:hAnsi="Times New Roman" w:cs="Times New Roman"/>
                <w:b/>
                <w:bCs/>
                <w:i/>
                <w:iCs/>
                <w:sz w:val="24"/>
                <w:szCs w:val="24"/>
              </w:rPr>
              <w:t>“bỏ điều kiện kinh doanh nhưng kiểm soát chuẩn đầu ra chuyên môn”.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Bỏ rào cản gia nhập thị trường là hợp lý; nhưng kết luận giám định có ảnh hưởng lớn đến thực thi quyền nên vẫn cần chuẩn năng lực, độc lập, xung đột lợi ích, truy nguyên mẫu vật và trách nhiệm nghề nghiệp.</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đồng thời xin được giải trình như sau: Việc cắt giảm điều kiện kinh doanh đối với dịch vụ giám định nhằm mở rộng khả năng tiếp cận thị trường của các tổ chức, cá nhân có nhu cầu thực hiện hoạt động giám định, nhưng việc thực hiện giám định vẫn phải tuân thủ những nguyên tắc nhất định quy định tại khoản 4 Điều 201 Luật SHTT (trình tự, thủ tục giám định…), và đã được quy định chi tiết tại Nghị định số 65/2023/NĐ-CP nhằm đảm bảo chất lượng của hoạt động này. Dự thảo cũng đã được bổ sung thêm quy định về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Khoa học và Công nghệ thống nhất với chủ trương cắt giảm điều kiện kinh doanh đối với dịch vụ giám định sở hữu trí tuệ theo các nghị quyết của Chính phủ. Tuy nhiên, đối với lĩnh vực sở hữu công nghiệp, hoạt động giám định có tính chuyên môn cao, kết luận giám định có thể được sử dụng trong quá trình xử lý, giải quyết các vụ việ quan đến bảo vệ quyền sở hữu trí tuệ.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 đó, đề nghị cơ quan soạn thảo nghiên cứu phương án quy định theo hướng </w:t>
            </w:r>
            <w:r>
              <w:rPr>
                <w:rFonts w:ascii="Times New Roman" w:eastAsia="Times New Roman" w:hAnsi="Times New Roman" w:cs="Times New Roman"/>
                <w:b/>
                <w:bCs/>
                <w:i/>
                <w:iCs/>
                <w:sz w:val="24"/>
                <w:szCs w:val="24"/>
              </w:rPr>
              <w:t>sau khi bãi bỏ các điều kiện kinh doanh vẫn bảo đảm có cơ chế kiểm soát chất lượng hoạt động giám định sở hữu công nghiệp</w:t>
            </w:r>
            <w:r>
              <w:rPr>
                <w:rFonts w:ascii="Times New Roman" w:eastAsia="Times New Roman" w:hAnsi="Times New Roman" w:cs="Times New Roman"/>
                <w:sz w:val="24"/>
                <w:szCs w:val="24"/>
              </w:rPr>
              <w:t xml:space="preserve"> thông qua yêu cầu về trình tự, thủ tục thực hiện giám định và chuẩn năng lực chuyên môn của người thực hiện, ký kết luận giám định; đồng thời bảo đảm các yêu cầu này không làm phát sinh trở lại điều kiện đầu tư, kinh doanh đã được cắt giảm.</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Cà Mau</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rà soát, lựa chọn phương án chính thức trước khi hoàn thiện hồ sơ trình cấp có thẩm quyền; đồng thời bảo đảm Tờ trình, Dự thảo Luật và Bản so sánh, thuyết minh thống nhất với nhau về phương án được lựa chọn.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Cơ quan chủ trì soạn thảo xin tiếp thu, về cơ bản đã chỉnh sửa theo hướng hợp nhất 2PA về phương án đơn giản hơn</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bãi bỏ điều kiện kinh doanh dịch vụ giám định thì không nên đồng thời bỏ toàn bộ yêu cầu về năng lực chuyên môn.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lựa chọn phương án bãi bỏ điều kiện kinh doanh, nhưng bổ sung trong Luật: </w:t>
            </w:r>
            <w:r>
              <w:rPr>
                <w:rFonts w:ascii="Times New Roman" w:eastAsia="Times New Roman" w:hAnsi="Times New Roman" w:cs="Times New Roman"/>
                <w:b/>
                <w:bCs/>
                <w:i/>
                <w:iCs/>
                <w:sz w:val="24"/>
                <w:szCs w:val="24"/>
                <w:u w:val="single"/>
              </w:rPr>
              <w:t>“Người thực hiện giám định phải có năng lực chuyên môn phù hợp, độc lập, khách quan, trung thực và chịu trách nhiệm về kết luận giám định.”</w:t>
            </w:r>
            <w:r>
              <w:rPr>
                <w:rFonts w:ascii="Times New Roman" w:eastAsia="Times New Roman" w:hAnsi="Times New Roman" w:cs="Times New Roman"/>
                <w:sz w:val="24"/>
                <w:szCs w:val="24"/>
              </w:rPr>
              <w:t xml:space="preserve"> Giao Chính phủ quy định tiêu chuẩn chuyên môn và cách thức chứng minh năng lực.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phân biệt điều kiện kinh doanh với chuẩn mực chuyên môn của hoạt động giám định. Giám định có thể được sử dụng làm căn cứ trong tranh chấp và xử lý xâm phạm SHTT, nên không nên cắt giảm chuẩn mực nghề nghiệp.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và xin được giải trình như sau: Các nguyên tắc quan đến “khách quan”, “trung thực” và “chịu trách nhiệm về kết luận giám định” đã có tại khoản 4 Điều 201. Cơ quan chủ trì soạn thảo cũng đã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p>
        </w:tc>
        <w:tc>
          <w:tcPr>
            <w:tcW w:w="1701" w:type="dxa"/>
            <w:shd w:val="clear" w:color="auto" w:fill="auto"/>
          </w:tcPr>
          <w:p>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shd w:val="clear" w:color="auto" w:fill="auto"/>
          </w:tcPr>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Phụ lục I Danh mục ngành, nghề đầu tư kinh doanh có điều kiện (tại Nghị quyết 66.17/2026/NQ-CP ngày 15/5/2026 của Chính phủ) không bao gồm ngành, nghề kinh doanh có điều kiện “kinh doanh dịch vụ giám định về sở hữu trí tuệ” (bao gồm giám định về quyền tác giả và quyền liên quan, giám định sở hữu công nghiệp và giám định về quyền đối với giống cây trồng), dự thảo Luật không quy định thủ tục, điều kiện liên quan đến giám định về quyền sở hữu công nghiệp và giám định về quyền đối với giống cây trồng (sửa đổi Điều 201), tuy nhiên, tại dự thảo Luật vẫn quy định điều kiện đối với tổ chức, cá nhân khi thực hiện giám định quyền tác giả, quyền liên quan (như nội dung sửa đổi tại điểm a khoản 3 Điều 201 tại Phương án 2 quy định điều kiện đối với tổ chức hoạt động giám định về quyền tác giả, quyền liên quan; nội dung sửa đổi tại điểm b khoản 3 Điều 201 tại Phương án 2 quy định điều kiện đối với cá nhân được cấp thẻ giám định viên sở hữu trí tuệ). Do đó, đề nghị cơ quan chủ trì soạn thảo rà soát, quy định tại dự thảo Luật đảm bảo phù hợp với quy định của pháp luật, quy định về cắt giảm thủ tục hành chính đã được Chính phủ ban hành trong thời gian qua. Trường hợp có ý kiến khác nhau, đề nghị giải trình cụ thể về cơ sở, lý do của từng loại ý kiến, báo cáo Chính phủ xem xét, quyết định trước khi trình Quốc hội.</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hiện nay, thực hiện quy định tại khoản 1 Điều 4 Nghị quyết số 66.17/2026/NQ-CP, theo đó, “Bộ Tài chính chịu trách nhiệm rà soát, đề xuất sửa đổi, bổ sung Phụ lục IV của Luật Đầu tư để bảo đảm tính thống nhất, đồng bộ”, hiện nay, Bộ Tài chính đang chủ trì xây dựng dự án Luật sửa đổi, bổ sung Điều 6 và Phụ lục IV về Danh mục ngành, nghề đầu tư kinh doanh có điều kiện của Luật Đầu tư, trong đó, dự thảo Luật đã bỏ dịch vụ giám định SHTT ra khỏi Phụ lục IV về Danh mục ngành, nghề đầu tư kinh doanh có điều kiện. Do đó, đề nghị cơ quan chủ trì soạn thảo trao đổi, thống nhất với Bộ Tài chính để đảm bảo tính thống nhất, đồng bộ giữa 02 dự án Luật.</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p>
        </w:tc>
        <w:tc>
          <w:tcPr>
            <w:tcW w:w="1701" w:type="dxa"/>
            <w:shd w:val="clear" w:color="auto" w:fill="auto"/>
          </w:tcPr>
          <w:p>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Đại học Quốc gia TP HCM</w:t>
            </w:r>
          </w:p>
        </w:tc>
        <w:tc>
          <w:tcPr>
            <w:tcW w:w="5954" w:type="dxa"/>
            <w:shd w:val="clear" w:color="auto" w:fill="auto"/>
          </w:tcPr>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nghiên cứu xây dựng phương án kết hợp giữa Phương án 1 và Phương án 2 theo hướng:</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Không quy định điều kiện về loại hình pháp lý của tổ chức được thực hiện giám định;</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Chỉ quy định tại Luật các nguyên tắc về độc lập, khách quan, đúng chuyên môn, không xung đột lợi ích, chịu trách nhiệm về kết luận và chỉ kết luận trong phạm vi chuyên môn được yêu cầu;</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Giao Chính phủ quy định chuẩn năng lực chuyên môn và chuẩn quy trình giám định;</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Quy định kết luận giám định là một trong các nguồn tài liệu, chứng cứ để cơ quan có thẩm quyền xem xét, đánh giá theo quy định của pháp luật và không có giá trị bắt buộc đối với cơ quan giải quyết vụ việc;</w:t>
            </w:r>
          </w:p>
          <w:p>
            <w:pPr>
              <w:shd w:val="clear" w:color="auto" w:fill="FFFFFF"/>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 Tiếp tục giữ quy định: </w:t>
            </w:r>
            <w:r>
              <w:rPr>
                <w:rFonts w:ascii="Times New Roman" w:eastAsia="Times New Roman" w:hAnsi="Times New Roman" w:cs="Times New Roman"/>
                <w:b/>
                <w:bCs/>
                <w:i/>
                <w:iCs/>
                <w:sz w:val="24"/>
                <w:szCs w:val="24"/>
                <w:u w:val="single"/>
              </w:rPr>
              <w:t>“Kết luận giám định không kết luận về hành vi xâm phạm quyền sở hữu trí tuệ hoặc kết luận về vụ tranh chấp.”</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Việc cắt giảm điều kiện kinh doanh đối với hoạt động giám định sở hữu trí tuệ là cần thiết, nhưng giám định vẫn là hoạt động có tính chuyên môn cao và kết luận giám định có thể ảnh hưởng đáng kể đến việc xử lý hành vi xâm phạm, giải quyết tranh chấp. Tại Bản thuyết minh cũng xác định giám định quyền sở hữu công nghiệp và quyền đối với giống cây trồng là hoạt động phức tạp, cần được kiểm soát thông qua chuẩn quy trình và chuẩn năng lực chuyên môn.</w:t>
            </w:r>
          </w:p>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cần cân bằng giữa yêu cầu cắt giảm điều kiện kinh doanh với yêu cầu bảo đảm chất lượng giám định. Đồng thời, việc quy định rõ kết luận giám định chỉ là nguồn tài liệu, chứng cứ để cơ quan có thẩm quyền xem xét sẽ bảo đảm người giám định không thay thế thẩm quyền đánh giá chứng cứ, xác định hành vi xâm phạm hoặc giải quyết tranh chấp của cơ quan có thẩm quyền.</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rPr>
          <w:trHeight w:val="240"/>
        </w:trP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p>
        </w:tc>
        <w:tc>
          <w:tcPr>
            <w:tcW w:w="1701" w:type="dxa"/>
            <w:shd w:val="clear" w:color="auto" w:fill="auto"/>
          </w:tcPr>
          <w:p>
            <w:p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shd w:val="clear" w:color="auto" w:fill="auto"/>
          </w:tcPr>
          <w:p>
            <w:pPr>
              <w:shd w:val="clear" w:color="auto" w:fill="FFFFFF"/>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sớm lựa chọn một phương án để bảo đảm hồ sơ dự án Luật có nội dung thống nhất. Đối với giám định quyền đối với giống cây trồng, trường hợp lựa chọn phương án cắt giảm điều kiện kinh doanh thì vẫn cần bảo đảm người thực hiện giám định có năng lực chuyên môn phù hợp với lĩnh vực giống cây trồng, DUS, nội dung cần giám định đồng thời tránh hình thành một thủ tục công nhận hoặc cấp phép mới có bản chất tương tự điều kiện kinh doanh đã được bãi bỏ.</w:t>
            </w:r>
          </w:p>
        </w:tc>
        <w:tc>
          <w:tcPr>
            <w:tcW w:w="4253" w:type="dxa"/>
            <w:vMerge/>
          </w:tcPr>
          <w:p>
            <w:pPr>
              <w:shd w:val="clear" w:color="auto" w:fill="FFFFFF"/>
              <w:spacing w:after="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u w:val="single"/>
              </w:rPr>
              <w:t xml:space="preserve">Phương án 1: </w:t>
            </w:r>
            <w:r>
              <w:rPr>
                <w:rFonts w:ascii="Times New Roman" w:eastAsia="Times New Roman" w:hAnsi="Times New Roman" w:cs="Times New Roman"/>
                <w:b/>
                <w:bCs/>
                <w:sz w:val="24"/>
                <w:szCs w:val="24"/>
              </w:rPr>
              <w:t>“Điều 201. Giám định về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Không nên chọn PA1 theo hướng dỡ bỏ hoàn toàn. Nếu chỉ bỏ giấy phép, thẻ và mọi tiêu chuẩn năng lực, rủi ro là:</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Bất kỳ cá nhân/tổ chức nào cũng có thể đưa ra “kết luận giám định”; </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Cơ quan xử lý khó phân biệt chất lượng; </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Tranh chấp chuyển từ “có điều kiện kinh doanh hay không” sang “kết luận nào đáng tin”. </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Giải pháp phù hợp hơn là: mở cửa + kiểm soát đầu ra chuyên môn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chỉnh sửa phương án theo hướng vẫn đảm bảo tinh thần cắt giảm điều kiện kinh doanh đối với dịch vụ giám định nhằm mở rộng khả năng tiếp cận thị trường của các tổ chức, cá nhân có nhu cầu thực hiện hoạt động giám định, nhưng hình thức quản lý sẽ được thực hiện thông qua việc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  </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Đồng Nai, Bộ Dân tộc và Tôn giáo, Sở NNMT Phú Thọ</w:t>
            </w:r>
          </w:p>
        </w:tc>
        <w:tc>
          <w:tcPr>
            <w:tcW w:w="5954" w:type="dxa"/>
          </w:tcPr>
          <w:p>
            <w:pPr>
              <w:shd w:val="clear" w:color="auto" w:fill="FFFFFF"/>
              <w:spacing w:before="40" w:after="40" w:line="240" w:lineRule="auto"/>
              <w:ind w:left="-20"/>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Thống nhất Phương án 1. </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Lạng Sơn</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quy định theo phương án 1.</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nhằm bảo đảm quy định của Luật mang tính khái quát, ổn định, thống nhất đối với hoạt động giám định về sở hữu trí tuệ; các nội dung về tổ chức giám định, giám định viên, điều kiện, trình tự, thủ tục giám định là những vấn đề mang tính kỹ thuật, nghiệp vụ và có thể điều chỉnh theo thực tiễn nên giao Chính phủ quy định chi tiết sẽ bảo đảm tính linh hoạt. Đồng thời tránh quy định quá chi tiết trong Luật về điều kiện hành nghề, tiêu chuẩn và thủ tục đối với từng lĩnh vực, qua đó hạn chế sự thiếu cân đối giữa các lĩnh vực giám định (quyền sở hữu công nghiệp; quyền đối với giống cây trồng; quyền tác giả và quyền liên quan) và thuận lợi trong quá trình tổ chức thực hiện.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chỉnh sửa các phương án theo hướng vẫn đảm bảo tinh thần cắt giảm điều kiện kinh doanh đối với dịch vụ giám định nhằm mở rộng khả năng tiếp cận thị trường của các tổ chức, cá nhân có nhu cầu thực hiện hoạt động giám định, nhưng hình thức quản lý sẽ được thực hiện thông qua việc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Tây Ninh</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chọn PA1, vì PA1 thống nhất và dễ áp dụng thực tiễn hơn.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Nghệ An</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lựa chọn Phương án 1</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PA1 có tính khái quát, thống nhất và khả thi, phù hợp với tính chất của Luật SHTT; tránh quy định quá chi tiết về điều kiện chuyên môn, tổ chức, nhân sự và các yêu cầu cụ thể đối với hoạt động giám định sở hữu trí tuệ. Đồng thời PA1 giao Chính phủ quy định về trình tự, thủ tục giám định, tổ chức giám định và giám định viên sở hữu trí tuệ, qua đó bảo đảm tính linh hoạt và khả năng cập nhật phù hợp với yêu cầu quản lý nhà nước và thực tiễn hoạt động giám định sở hữu trí tuệ.</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chỉnh sửa </w:t>
            </w:r>
            <w:r>
              <w:rPr>
                <w:rFonts w:eastAsia="Times New Roman"/>
                <w:sz w:val="24"/>
                <w:szCs w:val="24"/>
              </w:rPr>
              <w:t xml:space="preserve">các </w:t>
            </w:r>
            <w:r>
              <w:rPr>
                <w:rFonts w:ascii="Times New Roman" w:eastAsia="Times New Roman" w:hAnsi="Times New Roman" w:cs="Times New Roman"/>
                <w:sz w:val="24"/>
                <w:szCs w:val="24"/>
              </w:rPr>
              <w:t>phương án theo hướng vẫn đảm bảo tinh thần cắt giảm điều kiện kinh doanh đối với dịch vụ giám định nhằm mở rộng khả năng tiếp cận thị trường của các tổ chức, cá nhân có nhu cầu thực hiện hoạt động giám định, nhưng hình thức quản lý sẽ được thực hiện thông qua việc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Tuyên Quang</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Chọn Phương án 1, do Phương án 1 quy định </w:t>
            </w:r>
            <w:r>
              <w:rPr>
                <w:rFonts w:ascii="Times New Roman" w:eastAsia="Times New Roman" w:hAnsi="Times New Roman" w:cs="Times New Roman"/>
                <w:b/>
                <w:bCs/>
                <w:i/>
                <w:iCs/>
                <w:sz w:val="24"/>
                <w:szCs w:val="24"/>
                <w:u w:val="single"/>
              </w:rPr>
              <w:t xml:space="preserve">“Giám định về sở hữu trí tuệ là việc tổ chức giám định, giám định viên” </w:t>
            </w:r>
            <w:r>
              <w:rPr>
                <w:rFonts w:ascii="Times New Roman" w:eastAsia="Times New Roman" w:hAnsi="Times New Roman" w:cs="Times New Roman"/>
                <w:sz w:val="24"/>
                <w:szCs w:val="24"/>
              </w:rPr>
              <w:t xml:space="preserve">đảm bảo yêu cầu về chuyên môn và tính thống nhất trong quá trình triển khai thực hiện so với Phương án 2 quy định </w:t>
            </w:r>
            <w:r>
              <w:rPr>
                <w:rFonts w:ascii="Times New Roman" w:eastAsia="Times New Roman" w:hAnsi="Times New Roman" w:cs="Times New Roman"/>
                <w:b/>
                <w:bCs/>
                <w:i/>
                <w:iCs/>
                <w:sz w:val="24"/>
                <w:szCs w:val="24"/>
                <w:u w:val="single"/>
              </w:rPr>
              <w:t>“Giám định ...là việc tổ chức, cá nhân sử dụng kiến thức, nghiệp vụ chuyên môn để đánh giá,...”</w:t>
            </w:r>
            <w:r>
              <w:rPr>
                <w:rFonts w:ascii="Times New Roman" w:eastAsia="Times New Roman" w:hAnsi="Times New Roman" w:cs="Times New Roman"/>
                <w:sz w:val="24"/>
                <w:szCs w:val="24"/>
              </w:rPr>
              <w:t xml:space="preserve"> (khoản 2).</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Đã chỉnh lý lời văn khái niệm “giám định về sở hữu trí tuệ” tại khoản 1 theo hướng đề cập đến công việc thay vì chủ thể thực hiện công việc </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Rủi ro lớn nhất của PA1 là việc xóa bỏ quy định kết luận giám định là nguồn chứng cứ. Lập luận "BLTTDS Điều 94 đã liệt kê" chỉ đúng với hoạt động tố tụng dân sự tại Tòa án, trong khi phần lớn thực thi quyền SHTT ở Việt Nam diễn ra theo thủ tục hành chính (QLTT, Hải quan, Công an, Thanh tra). Bỏ căn cứ này tại Luật SHTT sẽ tạo khoảng trống về giá trị pháp lý của kết luận giám định trong xử lý hành chính – vốn là công cụ then chốt mà chủ thể quyền (và các cơ quan thực thi) đang dựa vào.</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Giữ nguyên quy định kết luận giám định là nguồn chứng cứ. </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Ủng hộ Phương án 1, phù hợp với tinh thần của Nghị quyết số 66-NQ/TW ngày 30/4/2025 của Bộ Chính trị về đổi mới công tác xây dựng và thi hành pháp luật đáp ứng yêu cầu phát triển đất nước trong kỷ nguyên mới về việc Luật chỉ quy định những vấn đề mang tính khung, nguyên tắc thuộc thẩm quyền của Quốc hội, giao Chính phủ quy định chi tiết để bảo đảm tính linh hoạt, chủ động trong quản lý điều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Ninh</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lựa chọn phương án 1. Lý do: cả 2 phương án đều có điều khoản </w:t>
            </w:r>
            <w:r>
              <w:rPr>
                <w:rFonts w:ascii="Times New Roman" w:eastAsia="Times New Roman" w:hAnsi="Times New Roman" w:cs="Times New Roman"/>
                <w:b/>
                <w:bCs/>
                <w:i/>
                <w:iCs/>
                <w:sz w:val="24"/>
                <w:szCs w:val="24"/>
                <w:u w:val="single"/>
              </w:rPr>
              <w:t xml:space="preserve">“Chính phủ quy định chi tiết..”. </w:t>
            </w:r>
            <w:r>
              <w:rPr>
                <w:rFonts w:ascii="Times New Roman" w:eastAsia="Times New Roman" w:hAnsi="Times New Roman" w:cs="Times New Roman"/>
                <w:sz w:val="24"/>
                <w:szCs w:val="24"/>
              </w:rPr>
              <w:t>Vì vậy quy định cụ thể về trình tự, thủ tục giám định, tổ chức giám định và giám định viên sở hữu trí tuệ được thực hiện tại quy định khác của Chính phủ là phù hợp.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UBND TP Huế</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lựa chọn PA1. </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Có tính mở và linh hoạt, tạo điều kiện hình thành mạng lưới tổ chức, cá nhân cung cấp dịch vụ giám định, từ đó người có nhu cầu có thêm lựa chọn về tổ chức giám định và chi phí.</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An Giang</w:t>
            </w: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lựa chọn PA1</w:t>
            </w:r>
          </w:p>
          <w:p>
            <w:pPr>
              <w:shd w:val="clear" w:color="auto" w:fill="FFFFFF"/>
              <w:spacing w:before="40" w:after="40" w:line="240" w:lineRule="auto"/>
              <w:ind w:left="-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bảo đảm tính thống nhất trong quy định về hoạt động giám định sở hữu trí tuệ đối với quyền tác giả, quyền liên quan, quyền sở hữu công nghiệp và quyền đối với giống cây trồng; đồng thời bảo đảm tính linh hoạt trong việc quy định điều kiện, tiêu chuẩn chuyên môn đối với từng lĩnh vực, phù hợp với đặc thù của từng đối tượng quyền. Tuy nhiên, đề nghị cơ quan soạn thảo nghiên cứu, bổ sung vào Phương án này quy định về giá trị của kết luận giám định trong việc làm nguồn chứng cứ để cơ quan có thẩm quyền xem xét, xử lý vụ việc.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 Quy</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định về kết luận giám định vẫn giữ nguyên như hiện hành.</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Giám định về sở hữu trí tuệ là việc tổ chức </w:t>
            </w:r>
            <w:r>
              <w:rPr>
                <w:rFonts w:ascii="Times New Roman" w:eastAsia="Times New Roman" w:hAnsi="Times New Roman" w:cs="Times New Roman"/>
                <w:b/>
                <w:bCs/>
                <w:i/>
                <w:iCs/>
                <w:sz w:val="24"/>
                <w:szCs w:val="24"/>
              </w:rPr>
              <w:t>giám định</w:t>
            </w:r>
            <w:r>
              <w:rPr>
                <w:rFonts w:ascii="Times New Roman" w:eastAsia="Times New Roman" w:hAnsi="Times New Roman" w:cs="Times New Roman"/>
                <w:sz w:val="24"/>
                <w:szCs w:val="24"/>
              </w:rPr>
              <w:t xml:space="preserve">, </w:t>
            </w:r>
            <w:r>
              <w:rPr>
                <w:rFonts w:ascii="Times New Roman" w:eastAsia="Times New Roman" w:hAnsi="Times New Roman" w:cs="Times New Roman"/>
                <w:b/>
                <w:bCs/>
                <w:i/>
                <w:iCs/>
                <w:sz w:val="24"/>
                <w:szCs w:val="24"/>
              </w:rPr>
              <w:t>giám định viên</w:t>
            </w:r>
            <w:r>
              <w:rPr>
                <w:rFonts w:ascii="Times New Roman" w:eastAsia="Times New Roman" w:hAnsi="Times New Roman" w:cs="Times New Roman"/>
                <w:strike/>
                <w:sz w:val="24"/>
                <w:szCs w:val="24"/>
              </w:rPr>
              <w:t>cá nhân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quy định tại khoản 2 và khoản 3 Điều này</w:t>
            </w:r>
            <w:r>
              <w:rPr>
                <w:rFonts w:ascii="Times New Roman" w:eastAsia="Times New Roman" w:hAnsi="Times New Roman" w:cs="Times New Roman"/>
                <w:sz w:val="24"/>
                <w:szCs w:val="24"/>
              </w:rPr>
              <w:t xml:space="preserve"> sử dụng kiến thức, nghiệp vụ chuyên môn để đánh giá, kết luận về những vấn đề có liên quan đến quyền sở hữu trí tuệ. Việc giám định tư pháp về sở hữu trí tuệ được thực hiện theo quy định của pháp luật về giám định tư pháp.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2</w:t>
            </w:r>
            <w:r>
              <w:rPr>
                <w:rFonts w:ascii="Times New Roman" w:eastAsia="Times New Roman" w:hAnsi="Times New Roman" w:cs="Times New Roman"/>
                <w:strike/>
                <w:sz w:val="24"/>
                <w:szCs w:val="24"/>
              </w:rPr>
              <w:t>1a</w:t>
            </w:r>
            <w:r>
              <w:rPr>
                <w:rFonts w:ascii="Times New Roman" w:eastAsia="Times New Roman" w:hAnsi="Times New Roman" w:cs="Times New Roman"/>
                <w:sz w:val="24"/>
                <w:szCs w:val="24"/>
              </w:rPr>
              <w:t>. Giám định về sở hữu trí tuệ bao gồm: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Giám định về quyền tác giả và quyền liên quan;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Giám định về quyền sở hữu công nghiệp;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Giám định về quyền đối với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 xml:space="preserve">2. Doanh nghiệp, hợp tác xã, đơn vị sự nghiệp công lập, tổ chức hành nghề luật sư được thành lập và hoạt động theo quy định của pháp luật có ít nhất một cá nhân có thẻ giám định viên sở hữu trí tuệ được thực hiện hoạt động giám định về sở hữu trí tuệ, trừ trường hợp quy định tại khoản 2a Điều này. </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2a. Tổ chức hành nghề luật sư nước ngoài hành nghề tại Việt Nam không được kinh doanh dịch vụ giám định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3. Cá nhân có đủ các điều kiện sau đây được cơ quan nhà nước có thẩm quyền cấp Thẻ giám định viên sở hữu trí tuệ:</w:t>
            </w:r>
          </w:p>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a) Là công dân Việt Nam, có năng lực hành vi dân sự đầy đủ;</w:t>
            </w:r>
          </w:p>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b) Thường trú tại Việt Nam;</w:t>
            </w:r>
          </w:p>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c) Có phẩm chất đạo đức tốt;</w:t>
            </w:r>
          </w:p>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d) Có trình độ đại học trở lên về chuyên ngành phù hợp với lĩnh vực đề nghị cấp thẻ giám định;</w:t>
            </w:r>
          </w:p>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đ) Thuộc một trong các trường hợp sau: đã qua thực tế hoạt động chuyên môn trong lĩnh vực đề nghị cấp thẻ giám định viên sở hữu trí tuệ từ đủ năm năm trở lên và được chứng nhận đạt yêu cầu khóa đào tạo nghiệp vụ về giám định sở hữu trí tuệ; trực tiếp tham gia giải quyết tranh chấp về sở hữu trí tuệ tại Tòa án và tổ chức trọng tài từ đủ mười lăm năm trở lên và thời gian gián đoạn (nếu có) không quá hai năm tính đến thời điểm đề nghị cấp thẻ giám định viên sở hữu trí tuệ; trực tiếp tham gia hỗ trợ chuyên môn trong công tác giám định về sở hữu trí tuệ tại tổ chức giám định từ đủ mười lăm năm trở lên và thời gian gián đoạn (nếu có) không quá hai năm tính đến thời điểm đề nghị cấp thẻ giám định viên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ind w:left="-20"/>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trike/>
                <w:sz w:val="24"/>
                <w:szCs w:val="24"/>
              </w:rPr>
            </w:pPr>
            <w:r>
              <w:rPr>
                <w:rFonts w:ascii="Times New Roman" w:eastAsia="Times New Roman" w:hAnsi="Times New Roman" w:cs="Times New Roman"/>
                <w:strike/>
                <w:sz w:val="24"/>
                <w:szCs w:val="24"/>
              </w:rPr>
              <w:t>3a. Trường hợp người được cấp thẻ giám định viên sở hữu trí tuệ không còn đáp ứng các điều kiện theo quy định tại khoản 3 Điều này, cơ quan nhà nước có thẩm quyền thu hồi thẻ giám định viên sở hữu trí tuệ.</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3.</w:t>
            </w:r>
            <w:r>
              <w:rPr>
                <w:rFonts w:ascii="Times New Roman" w:eastAsia="Times New Roman" w:hAnsi="Times New Roman" w:cs="Times New Roman"/>
                <w:strike/>
                <w:sz w:val="24"/>
                <w:szCs w:val="24"/>
              </w:rPr>
              <w:t>4.</w:t>
            </w:r>
            <w:r>
              <w:rPr>
                <w:rFonts w:ascii="Times New Roman" w:eastAsia="Times New Roman" w:hAnsi="Times New Roman" w:cs="Times New Roman"/>
                <w:sz w:val="24"/>
                <w:szCs w:val="24"/>
              </w:rPr>
              <w:t xml:space="preserve"> Nguyên tắc thực hiện giám định bao gồm: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Tuân thủ pháp luật, tuân theo trình tự, thủ tục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Trung thực, chính xác, khách quan, vô tư, kịp thời.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Chỉ kết luận về chuyên môn những vấn đề trong phạm vi được yêu cầu.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 Chịu trách nhiệm trước pháp luật về kết luận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 </w:t>
            </w:r>
            <w:r>
              <w:rPr>
                <w:rFonts w:ascii="Times New Roman" w:eastAsia="Times New Roman" w:hAnsi="Times New Roman" w:cs="Times New Roman"/>
                <w:b/>
                <w:bCs/>
                <w:i/>
                <w:iCs/>
                <w:sz w:val="24"/>
                <w:szCs w:val="24"/>
              </w:rPr>
              <w:t>Chỉ thực hiện giám định khi có kiến thức, nghiệp vụ chuyên môn trong lĩnh vực được yêu cầu giám định;</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e) </w:t>
            </w:r>
            <w:r>
              <w:rPr>
                <w:rFonts w:ascii="Times New Roman" w:eastAsia="Times New Roman" w:hAnsi="Times New Roman" w:cs="Times New Roman"/>
                <w:sz w:val="24"/>
                <w:szCs w:val="24"/>
              </w:rPr>
              <w:t>Chi phí giám định được xác định theo thỏa thuận giữa người có yêu cầu giám định và tổ chức, cá nhân giám định.</w:t>
            </w:r>
          </w:p>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Góp ý đối với PA1 + PA2:</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đã có các nguyên tắc “khách quan, vô tư”, nhưng theo chúng tôi chưa đủ để giải quyết tình huống thực tế. Đề nghị bổ sung nguyên tắc xung đột lợi ích và mẫu vật:</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“Người thực hiện giám định phải từ chối hoặc chấm dứt việc giám định nếu có quyền, lợi ích liên quan đến đối tượng hoặc vụ việc; đã tham gia tư vấn, đại diện hoặc giám định cho một bên về cùng vụ việc mà có khả năng ảnh hưởng đến tính độc lập, khách quan; hoặc có căn cứ hợp lý khác làm phát sinh nghi ngờ về tính vô tư.”</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Một kết luận có thể đúng về chuyên môn nhưng không có giá trị đối với vụ việc nếu mẫu đem giám định không phải mẫu được thu từ chủ thể bị yêu cầu xử lý. Đề nghị bổ sung nguyên tắc: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u w:val="single"/>
              </w:rPr>
              <w:t>“Tài liệu, mẫu vật sử dụng để giám định phải xác định được nguồn gốc, tình trạng và mối liên hệ với đối tượng cần giám định; việc tiếp nhận, bảo quản và sử dụng phải bảo đảm khả năng kiểm tra, truy nguyên.”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Ngoài các nguyên tắc chung và cơ bản được đề cập tại khoản 4 Điều 201, các nguyên tắc đảm bảo không xung đột lợi ích, các quy định liên quan đến mẫu vật, tiếp nhận và bảo quản mẫu vật đã được quy định tại các Điều 106, 117, 118 liên quan đến hoạt động giám định tại Nghị định 65/2023/NĐ-CP. Các quy định này sẽ tiếp tục được rà soát, chỉnh lý trong quá trình sửa đổi Nghị định này sau khi Luật được thông qua để phù hợp với thực tiễn thi hành.. </w:t>
            </w: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Tài chính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Về nội dung </w:t>
            </w:r>
            <w:r>
              <w:rPr>
                <w:rFonts w:ascii="Times New Roman" w:eastAsia="Times New Roman" w:hAnsi="Times New Roman" w:cs="Times New Roman"/>
                <w:b/>
                <w:bCs/>
                <w:i/>
                <w:iCs/>
                <w:sz w:val="24"/>
                <w:szCs w:val="24"/>
                <w:u w:val="single"/>
              </w:rPr>
              <w:t>“Chi phí giám định được xác định theo thỏa thuận giữa người có yêu cầu giám định và tổ chức, cá nhân giám định”:</w:t>
            </w:r>
            <w:r>
              <w:rPr>
                <w:rFonts w:ascii="Times New Roman" w:eastAsia="Times New Roman" w:hAnsi="Times New Roman" w:cs="Times New Roman"/>
                <w:sz w:val="24"/>
                <w:szCs w:val="24"/>
              </w:rPr>
              <w:t xml:space="preserve">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Bộ Khoa học và Công nghệ bổ sung đánh giá tác động của chính sách đối với ngân sách nhà nước theo quy định của Luật Ban hành văn bản quy phạm pháp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cơ quan chủ trì soạn thảo sẽ rà soát, bổ sung làm rõ nội dung này trong hồ sơ đánh giá tác động chính sách với nội dung: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Quy định “Chi phí giám định được xác định theo thỏa thuận giữa người có yêu cầu giám định và tổ chức, cá nhân giám định” là quy định về nguyên tắc xác định chi phí trong quan hệ giám định, không thiết lập khoản chi mới từ ngân sách nhà nước và không làm phát sinh nghĩa vụ tài chính mới của Nhà nước. Trường hợp cơ quan nhà nước yêu cầu giám định để phục vụ hoạt động quản lý, xử lý vụ việc thì việc bố trí, thanh toán kinh phí thực hiện theo quy định của pháp luật về ngân sách nhà nước và các quy định có liên quan. Vì vậy, nội dung này về cơ bản không làm phát sinh tác động mới đối với ngân sách nhà nước. </w:t>
            </w:r>
          </w:p>
        </w:tc>
      </w:tr>
      <w:tr>
        <w:tc>
          <w:tcPr>
            <w:tcW w:w="3114" w:type="dxa"/>
          </w:tcPr>
          <w:p>
            <w:pPr>
              <w:widowControl w:val="0"/>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4</w:t>
            </w:r>
            <w:r>
              <w:rPr>
                <w:rFonts w:ascii="Times New Roman" w:eastAsia="Times New Roman" w:hAnsi="Times New Roman" w:cs="Times New Roman"/>
                <w:strike/>
                <w:sz w:val="24"/>
                <w:szCs w:val="24"/>
              </w:rPr>
              <w:t>5</w:t>
            </w:r>
            <w:r>
              <w:rPr>
                <w:rFonts w:ascii="Times New Roman" w:eastAsia="Times New Roman" w:hAnsi="Times New Roman" w:cs="Times New Roman"/>
                <w:sz w:val="24"/>
                <w:szCs w:val="24"/>
              </w:rPr>
              <w:t xml:space="preserve">. Chủ thể quyền sở hữu trí tuệ và tổ chức, cá nhân khác có liên quan có quyền yêu cầu giám định về sở hữu trí tuệ để bảo vệ quyền và lợi ích hợp pháp của mình. Cơ quan nhà nước có thẩm quyền xử lý hành vi xâm phạm quyền sở hữu trí tuệ có quyền yêu cầu giám định về sở hữu trí tuệ khi giải quyết vụ việc mà mình đang thụ lý. </w:t>
            </w:r>
          </w:p>
          <w:p>
            <w:pPr>
              <w:widowControl w:val="0"/>
              <w:shd w:val="clear" w:color="auto" w:fill="FFFFFF"/>
              <w:spacing w:before="40" w:after="40" w:line="240" w:lineRule="auto"/>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Kết luận giám định là một trong các nguồn chứng cứ để cơ quan có thẩm quyền xử lý, giải quyết vụ việc. Kết luận giám định không kết luận về hành vi xâm phạm quyền sở hữu trí tuệ hoặc kết luận về vụ tranh chấp.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Đồng Nai</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xuất bổ sung thêm nội dung </w:t>
            </w:r>
            <w:r>
              <w:rPr>
                <w:rFonts w:ascii="Times New Roman" w:eastAsia="Times New Roman" w:hAnsi="Times New Roman" w:cs="Times New Roman"/>
                <w:b/>
                <w:bCs/>
                <w:i/>
                <w:iCs/>
                <w:sz w:val="24"/>
                <w:szCs w:val="24"/>
                <w:u w:val="single"/>
              </w:rPr>
              <w:t>“Kết luận giám định sở hữu trí tuệ là một trong các nguồn chứng cứ để cơ quan, tổ chức, cá nhân có thẩm quyền xem xét, xử lý, giải quyết vụ việc theo quy định pháp luật. Kết luận giám định chỉ kết luận về những vấn đề chuyên môn trong phạm vi được yêu cầu giám định; không thay thế thẩm quyền kết luận về hành vi xâm phạm quyền sở hữu trí tuệ, xử lý vi phạm hoặc giải quyết tranh chấp của cơ quan, người có thẩm quyền”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Giữ nguyên quy định về việc kết luận giám định là nguồn chứng cứ như trước đây.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5</w:t>
            </w:r>
            <w:r>
              <w:rPr>
                <w:rFonts w:ascii="Times New Roman" w:eastAsia="Times New Roman" w:hAnsi="Times New Roman" w:cs="Times New Roman"/>
                <w:strike/>
                <w:sz w:val="24"/>
                <w:szCs w:val="24"/>
              </w:rPr>
              <w:t>6</w:t>
            </w:r>
            <w:r>
              <w:rPr>
                <w:rFonts w:ascii="Times New Roman" w:eastAsia="Times New Roman" w:hAnsi="Times New Roman" w:cs="Times New Roman"/>
                <w:sz w:val="24"/>
                <w:szCs w:val="24"/>
              </w:rPr>
              <w:t xml:space="preserve">. Chính phủ quy định </w:t>
            </w:r>
            <w:r>
              <w:rPr>
                <w:rFonts w:ascii="Times New Roman" w:eastAsia="Times New Roman" w:hAnsi="Times New Roman" w:cs="Times New Roman"/>
                <w:strike/>
                <w:sz w:val="24"/>
                <w:szCs w:val="24"/>
              </w:rPr>
              <w:t xml:space="preserve">chi tiết Điều này </w:t>
            </w:r>
            <w:r>
              <w:rPr>
                <w:rFonts w:ascii="Times New Roman" w:eastAsia="Times New Roman" w:hAnsi="Times New Roman" w:cs="Times New Roman"/>
                <w:sz w:val="24"/>
                <w:szCs w:val="24"/>
              </w:rPr>
              <w:t xml:space="preserve">cụ thể về </w:t>
            </w:r>
            <w:r>
              <w:rPr>
                <w:rFonts w:ascii="Times New Roman" w:eastAsia="Times New Roman" w:hAnsi="Times New Roman" w:cs="Times New Roman"/>
                <w:b/>
                <w:bCs/>
                <w:i/>
                <w:iCs/>
                <w:sz w:val="24"/>
                <w:szCs w:val="24"/>
              </w:rPr>
              <w:t>trình tự, thủ tục giám định, tổ chức giám định và giám định viên sở hữu trí tuệ</w:t>
            </w:r>
            <w:r>
              <w:rPr>
                <w:rFonts w:ascii="Times New Roman" w:eastAsia="Times New Roman" w:hAnsi="Times New Roman" w:cs="Times New Roman"/>
                <w:strike/>
                <w:sz w:val="24"/>
                <w:szCs w:val="24"/>
              </w:rPr>
              <w:t xml:space="preserve"> tổ chức và hoạt động giám định về sở hữu trí tuệ</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Góp ý đối với PA1 + PA2:</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Chính phủ quy định chi tiết ít nhất: chuẩn năng lực chuyên môn; quy trình tiếp nhận và quản lý mẫu; hồ sơ/phương pháp giám định; nghĩa vụ công khai xung đột lợi ích; trách nhiệm nghề nghiệp và cơ chế kiểm soát chất lượng.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chỉnh sửa các phương án theo hướng vẫn đảm bảo tinh thần cắt giảm điều kiện kinh doanh đối với dịch vụ giám định nhằm mở rộng khả năng tiếp cận thị trường của các tổ chức, cá nhân có nhu cầu thực hiện hoạt động giám định, nhưng hình thức quản lý sẽ được thực hiện thông qua việc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i/>
                <w:iCs/>
                <w:sz w:val="24"/>
                <w:szCs w:val="24"/>
                <w:u w:val="single"/>
              </w:rPr>
              <w:t xml:space="preserve">Phương án 2: </w:t>
            </w:r>
            <w:r>
              <w:rPr>
                <w:rFonts w:ascii="Times New Roman" w:eastAsia="Times New Roman" w:hAnsi="Times New Roman" w:cs="Times New Roman"/>
                <w:b/>
                <w:bCs/>
                <w:sz w:val="24"/>
                <w:szCs w:val="24"/>
              </w:rPr>
              <w:t>“Điều 201. Giám định về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Tài chính, Sở KHCN Bắc Ninh, Sở NNMT Quảng Ninh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Phương án 2</w:t>
            </w:r>
          </w:p>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vMerge w:val="restart"/>
          </w:tcPr>
          <w:p>
            <w:pPr>
              <w:shd w:val="clear" w:color="auto" w:fill="FFFFFF"/>
              <w:spacing w:before="40" w:after="40" w:line="240" w:lineRule="auto"/>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Các phương án đã được sửa đổi theo hướng hợp nhất, đơn giản, chỉ quy định những vấn đề chung trên Luật.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r>
              <w:rPr>
                <w:rFonts w:eastAsia="Times New Roman"/>
                <w:sz w:val="24"/>
                <w:szCs w:val="24"/>
              </w:rPr>
              <w:t>.</w:t>
            </w:r>
          </w:p>
          <w:p>
            <w:pPr>
              <w:shd w:val="clear" w:color="auto" w:fill="FFFFFF"/>
              <w:spacing w:before="40" w:after="40" w:line="240" w:lineRule="auto"/>
              <w:ind w:firstLine="3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Chúng tôi đề nghị chọn PA2 vì giám định sở hữu công nghiệp là công việc đòi hỏi chuyên môn cao, kết luận giám định trên thực tế có ảnh hưởng quyết định đến kết quả xử lý vụ việc. Nếu theo PA1 (bãi bỏ toàn bộ điều kiện đối với tổ chức, giám định viên và bỏ quy định về giá trị chứng cứ), chất lượng giám định sẽ không được kiểm soát, tạo rủi ro cho cả chủ thể quyền lẫn bên bị cho là xâm phạm.</w:t>
            </w:r>
          </w:p>
        </w:tc>
        <w:tc>
          <w:tcPr>
            <w:tcW w:w="4253" w:type="dxa"/>
            <w:vMerge/>
          </w:tcPr>
          <w:p>
            <w:pPr>
              <w:shd w:val="clear" w:color="auto" w:fill="FFFFFF"/>
              <w:spacing w:before="40" w:after="40" w:line="240" w:lineRule="auto"/>
              <w:ind w:firstLine="3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Thông tấn xã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Chọn “PA2” vì đã quy định cụ thể, chi tiết về quyền, nghĩa vụ và trách nhiệm của các chủ thể có liên quan, góp phần bảo đảm tính minh bạch, rõ ràng và thống nhất trong thực thi pháp luật về quyền đối với giống cây trồng.</w:t>
            </w:r>
          </w:p>
        </w:tc>
        <w:tc>
          <w:tcPr>
            <w:tcW w:w="4253" w:type="dxa"/>
            <w:vMerge/>
          </w:tcPr>
          <w:p>
            <w:pPr>
              <w:shd w:val="clear" w:color="auto" w:fill="FFFFFF"/>
              <w:spacing w:before="40" w:after="40" w:line="240" w:lineRule="auto"/>
              <w:ind w:firstLine="3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TNHH ADASTRA IP</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Đối với hoạt động giám định sở hữu trí tuệ tại Điều 201, chúng tôi kiến nghị Ban soạn thảo ưu tiên lựa chọn Phương án 2 (PA2).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Lý do lựa chọn: Hoạt động giám định sở hữu công nghiệp và giám định giống cây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trồng có tính chất kỹ thuật và chuyên môn tương đối phức tạp. Việc bãi bỏ điều kiện kinh doanh đối với hai dịch vụ này là cần thiết để đơn giản hóa thủ tục hành chính và khuyến khích sự tham gia của các tổ chức chuyên môn ngoài nhà nước. Tuy nhiên, kết luận giám định lại là một nguồn chứng cứ quan trọng để cơ quan nhà nước xử lý hành vi xâm phạm. Do đó, chất lượng giám định vẫn cần được kiểm soát ở mức độ nhất định. Phương án 2 giải quyết hài hòa vấn đề này bằng cách: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Đối với giám định sở hữu công nghiệp và giống cây trồng: Cho phép bãi bỏ các điều kiện kinh doanh phức tạp ở cấp luật, nhưng quản lý chất lượng thông qua việc quy định kết luận giám định chỉ được công nhận là chứng cứ hợp pháp nếu việc giám định được thực hiện phù hợp với chuẩn quy trình pháp luật và được ký xác nhận bởi cá nhân đáp ứng chuẩn năng lực giám định viên.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Đối với giám định quyền tác giả và quyền liên quan: Giữ nguyên cơ chế cấp Thẻ giám định viên và quản lý điều kiện hoạt động của tổ chức giám định do tính chất đặc thù của lĩnh vực này, đảm bảo tính ổn định của hệ thống thực thi hiện tại.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Ngược lại, Phương án 1 bãi bỏ toàn bộ điều kiện ở cấp luật cho tất cả các lĩnh vực và giao Chính phủ tự quy định chi tiết, điều này có thể dẫn đến sự thiếu ổn định, thiếu nhất quán và dễ tạo ra lỗ hổng trong việc kiểm soát chất lượng chứng cứ giám định. </w:t>
            </w:r>
          </w:p>
        </w:tc>
        <w:tc>
          <w:tcPr>
            <w:tcW w:w="4253" w:type="dxa"/>
          </w:tcPr>
          <w:p>
            <w:pPr>
              <w:shd w:val="clear" w:color="auto" w:fill="FFFFFF"/>
              <w:spacing w:before="40" w:after="40" w:line="240" w:lineRule="auto"/>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Cần Thơ</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Phương án 2. Lý do: Phương án này quy định chi tiết về điều kiện cấp Thẻ giám định viên quyền tác giả, quyền liên quan, đồng thời làm rõ kết luận giám định chỉ là nguồn chứng cứ chứ không kết luận về hành vi xâm phạm</w:t>
            </w:r>
          </w:p>
        </w:tc>
        <w:tc>
          <w:tcPr>
            <w:tcW w:w="4253" w:type="dxa"/>
          </w:tcPr>
          <w:p>
            <w:pPr>
              <w:shd w:val="clear" w:color="auto" w:fill="FFFFFF"/>
              <w:spacing w:before="40" w:after="40" w:line="240" w:lineRule="auto"/>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Các phương án đã được sửa đổi theo hướng hợp nhất, đơn giản, chỉ quy định những vấn đề chung trên Luật. Các quy định chi tiết dưới Nghị định sẽ được chỉnh lý, bổ sung trong quá trình sửa đổi Nghị định sau khi Luật được thông qua.</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Ngãi</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Lựa chọn Phương án 2</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Phương án 2 quy định cụ thể hơn về phạm vi giám định, chủ thể thực hiện giám định và điều kiện đối với hoạt động giám định sở hữu trí tuệ, qua đó góp phần làm rõ trách nhiệm của các chủ thể tham gia hoạt động giám định, nâng cao tính minh bạch, thống nhất trong áp dụng pháp luật và đáp ứng yêu cầu thực tiễn trong giải quyết tranh chấp, xử lý hành vi xâm phạm quyền sở hữu trí tuệ.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tiếp tục rà soát các quy định liên quan để bảo đảm tính thống nhất giữa quy định về giám định sở hữu trí tuệ với các quy định về xử lý hành vi xâm phạm quyền sở hữu trí tuệ, giải quyết tranh chấp và sử dụng kết quả giám định trong hoạt động tố tụng, thanh tra, kiểm tra và xử lý vi phạm.</w:t>
            </w:r>
          </w:p>
        </w:tc>
        <w:tc>
          <w:tcPr>
            <w:tcW w:w="4253" w:type="dxa"/>
            <w:vMerge w:val="restart"/>
          </w:tcPr>
          <w:p>
            <w:pPr>
              <w:shd w:val="clear" w:color="auto" w:fill="FFFFFF"/>
              <w:spacing w:before="40" w:after="40" w:line="240" w:lineRule="auto"/>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 </w:t>
            </w:r>
          </w:p>
          <w:p>
            <w:pPr>
              <w:shd w:val="clear" w:color="auto" w:fill="FFFFFF"/>
              <w:spacing w:before="40" w:after="40" w:line="240" w:lineRule="auto"/>
              <w:ind w:firstLine="34"/>
              <w:jc w:val="both"/>
              <w:rPr>
                <w:rFonts w:ascii="Times New Roman" w:eastAsia="Times New Roman" w:hAnsi="Times New Roman" w:cs="Times New Roman"/>
                <w:sz w:val="24"/>
                <w:szCs w:val="24"/>
              </w:rPr>
            </w:pPr>
          </w:p>
          <w:p>
            <w:pPr>
              <w:shd w:val="clear" w:color="auto" w:fill="FFFFFF"/>
              <w:spacing w:before="40" w:after="40" w:line="240" w:lineRule="auto"/>
              <w:ind w:firstLine="3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OPIC và Cộng sự</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lựa chọn PA2 nhưng tiếp tục hoàn thiện theo hướng giảm điều kiện kinh doanh không cần thiết, đồng thời duy trì các yêu cầu tối thiểu về năng lực chuyên môn và chất lượng hoạt động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là kết luận giám định sở hữu trí tuệ thường được sử dụng để làm rõ các vấn đề chuyên môn trong quá trình giải quyết tranh chấp, khiếu nại và xử lý hành vi xâm phạm quyền. Nếu bãi bỏ hoàn toàn các yêu cầu về năng lực chuyên môn, kinh nghiệm và trách nhiệm nghề nghiệp thì có thể dẫn đến sự không đồng đều về chất lượng kết luận giám định, ảnh hưởng trực tiếp đến quyền và lợi ích hợp pháp của chủ thể quyền.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Luật tiếp tục quy định các nguyên tắc tối thiểu về năng lực chuyên môn, tính độc lập, khách quan, trung thực và trách nhiệm của người thực hiện giám định, đồng thời giao Chính phủ quy định chi tiết về trình tự, phương pháp và tiêu chuẩn chuyên môn.</w:t>
            </w:r>
          </w:p>
        </w:tc>
        <w:tc>
          <w:tcPr>
            <w:tcW w:w="4253" w:type="dxa"/>
            <w:vMerge/>
          </w:tcPr>
          <w:p>
            <w:pPr>
              <w:shd w:val="clear" w:color="auto" w:fill="FFFFFF"/>
              <w:spacing w:before="40" w:after="40" w:line="240" w:lineRule="auto"/>
              <w:ind w:firstLine="3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chọn Phương án 2, vì giá trị chứng cứ của kết luận giám định quyền tác giả, quyền liên quan không thể tách khỏi chuẩn năng lực của người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Kết luận giám định quyền tác giả, quyền liên quan đi thẳng vào các thủ tục cưỡng chế. Trong thực tiễn hành nghề của Phan Law, kết luận giám định về quyền tác giả, quyền liên quan là căn cứ được sử dụng trực tiếp trong xử phạt vi phạm hành chính theo Nghị định 341/2025/NĐ-CP, trong tố tụng dân sự theo khoản 5 Điều 94 Bộ luật Tố tụng dân sự và trong xử lý hình sự theo Điều 225 Bộ luật Hình sự. Một văn bản có sức nặng cưỡng chế như vậy cần được lập bởi người có chuẩn năng lực được xác định ở tầm luật. Về tính chất, hoạt động này gần với hoạt động bổ trợ tư pháp hơn là một dịch vụ kinh doanh thông thường.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Phương án 2 không mâu thuẫn với chủ trương cắt giảm điều kiện kinh doanh tại Nghị quyết 66.17/2026/NQ-CP. Nghị quyết loại bỏ dịch vụ giám định sở hữu trí tuệ khỏi danh mục ngành, nghề đầu tư kinh doanh có điều kiện, tức là gỡ rào cản gia nhập thị trường dịch vụ. Phương án 2 đi đúng hướng đó: mọi doanh nghiệp, hợp tác xã, đơn vị sự nghiệp công lập, tổ chức hành nghề luật sư đều được thực hiện hoạt động giám định quyền tác giả, quyền liên quan, chỉ cần có ít nhất một cá nhân có thẻ giám định viên. Điều còn lại của Phương án 2 là chuẩn năng lực của cá nhân ký kết luận, gắn với giá trị chứng cứ của kết luận đó. Đây là chuẩn chất lượng đầu ra, không phải điều kiện gia nhập thị trường; chính thuyết minh của Ban soạn thảo tại Bản so sánh cũng xác nhận logic này khi thiết kế "chuẩn năng lực" cho giám định sở hữu công nghiệp.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Phương án 1 tạo rủi ro về chất lượng chứng cứ mà cơ quan tố tụng không có công cụ sàng lọc. Nếu mọi điều kiện đối với tổ chức và cá nhân giám định đều được bãi bỏ ở tầm luật và để mở cho văn bản dưới luật, trong khoảng thời gian chưa có nghị định, bất kỳ tổ chức, cá nhân nào cũng có thể phát hành văn bản mang tên kết luận giám định. Kinh nghiệm các vụ việc có kết luận giám định đối nghịch cho thấy tòa án và cơ quan xử lý sẽ mất căn cứ đánh giá độ tin cậy, thời gian giải quyết vụ việc kéo dài thêm, ngược với mục tiêu giảm chi phí tuân thủ. Điều này cũng cần được cân nhắc trong bối cảnh các đối tác thương mại lớn đang theo dõi chặt chẽ năng lực thực thi quyền tác giả của Việt Nam; một thay đổi bị hiểu là nới lỏng kiểm soát chất lượng giám định sẽ ảnh hưởng đến hình ảnh thực thi chung, vượt ra ngoài phạm vi một thủ tục hành chính.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 Việc loại trừ tổ chức hành nghề luật sư nước ngoài tại điểm a khoản 3 Phương án 2 là phù hợp. Quy định này thống nhất với phạm vi hành nghề của tổ chức hành nghề luật sư nước ngoài theo pháp luật về luật sư, theo đó các hoạt động gắn với tố tụng tại Việt Nam do tổ chức hành nghề trong nước thực hiện.</w:t>
            </w:r>
          </w:p>
        </w:tc>
        <w:tc>
          <w:tcPr>
            <w:tcW w:w="4253" w:type="dxa"/>
            <w:vMerge/>
          </w:tcPr>
          <w:p>
            <w:pPr>
              <w:shd w:val="clear" w:color="auto" w:fill="FFFFFF"/>
              <w:spacing w:before="40" w:after="40" w:line="240" w:lineRule="auto"/>
              <w:ind w:firstLine="34"/>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Gia Lai</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cân nhắc chọn phương án 2 vì phương án này phân biệt rõ </w:t>
            </w:r>
            <w:r>
              <w:rPr>
                <w:rFonts w:ascii="Times New Roman" w:eastAsia="Times New Roman" w:hAnsi="Times New Roman" w:cs="Times New Roman"/>
                <w:b/>
                <w:bCs/>
                <w:i/>
                <w:iCs/>
                <w:sz w:val="24"/>
                <w:szCs w:val="24"/>
              </w:rPr>
              <w:t xml:space="preserve">“giám định về quyền sở hữu công nghiệp, quyền đối với giống cây trồng” </w:t>
            </w:r>
            <w:r>
              <w:rPr>
                <w:rFonts w:ascii="Times New Roman" w:eastAsia="Times New Roman" w:hAnsi="Times New Roman" w:cs="Times New Roman"/>
                <w:sz w:val="24"/>
                <w:szCs w:val="24"/>
              </w:rPr>
              <w:t xml:space="preserve">và </w:t>
            </w:r>
            <w:r>
              <w:rPr>
                <w:rFonts w:ascii="Times New Roman" w:eastAsia="Times New Roman" w:hAnsi="Times New Roman" w:cs="Times New Roman"/>
                <w:b/>
                <w:bCs/>
                <w:i/>
                <w:iCs/>
                <w:sz w:val="24"/>
                <w:szCs w:val="24"/>
              </w:rPr>
              <w:t>“giám định về quyền tác giả, quyền liên quan”</w:t>
            </w:r>
            <w:r>
              <w:rPr>
                <w:rFonts w:ascii="Times New Roman" w:eastAsia="Times New Roman" w:hAnsi="Times New Roman" w:cs="Times New Roman"/>
                <w:sz w:val="24"/>
                <w:szCs w:val="24"/>
              </w:rPr>
              <w:t>; đồng thời, cũng quy định cụ thể điều kiện cấp Thẻ giám định viên quyền tác giả, quyền liên quan để thống nhất và dễ áp dụng thực hiện.</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hỗ trợ kinh phí giám định có thể thực hiện thông qua các chương trình, chính sách cụ thể để phù hợp với từng đối tượng, từng địa phương và từng thời kỳ. Chính sách hỗ trợ liên quan đến cơ chế, tài chính của Nhà nước cũng đã được thể hiện tại Điều 8 Luật SHTT.</w:t>
            </w:r>
          </w:p>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Quảng Trị</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Kiến nghị lựa chọn Phương án 2 vì quy định chặt chẽ, rõ ràng hơn về điều kiện, tiêu chuẩn giám định viên và giá trị pháp lý của kết luận giám định (được công nhận là nguồn chứng cứ hợp pháp), phù hợp với thực tiễn xử lý xâm phạm quyền sở hữu trí tuệ ngày càng phức tạp hiện nay. Đồng thời, đề nghị bổ sung cơ chế hỗ trợ kinh phí giám định cho các vụ việc xâm phạm quyền sở hữu trí tuệ liên quan đến chỉ dẫn địa lý, nhãn hiệu tập thể của địa phương, hợp tác xã, hộ nông dân có nguồn lực tài chính hạn chế.</w:t>
            </w: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Hà Tĩnh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xem xét lựa chọn Phương án 2.</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Nghị quyết 66.18/2026/NQ-CP yêu cầu phân quyền, cắt giảm thủ tục nhưng vẫn phải ban hành các biện pháp quản lý phù hợp với việc chuyển phương thức từ tiền kiểm sang hậu kiểm, bảo đảm hiệu quả quản lý nhà nước. Hoạt động giám định sở hữu công nghiệp và giống cây trồng là công việc phức tạp, mang tính chuyên môn, kỹ thuật cao; kết luận giám định lại là cơ sở quan trọng để các cơ quan quản lý và thực thi pháp luật ở địa phương xử lý tranh chấp, vi phạm. Nếu chọn Phương án 1, chỉ quy định nguyên tắc chung chung sẽ dễ dẫn đến khoảng trống pháp lý, khó kiểm soát chất lượng giám định. Phương án 2 quy định rõ kết luận giám định chỉ được công nhận là chứng cứ hợp pháp nếu việc giám định tuân thủ quy định và giám định viên đáp ứng chuẩn năng lực, đồng thời vẫn giao Chính phủ quy định chi tiết. Điều này đảm bảo tính chặt chẽ trong quản lý chất lượng chứng cứ mà không vi phạm quy định về cấm đặt ra điều kiện kinh doanh;</w:t>
            </w: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ưu tiên PA2, vì giám định SHTT, đặc biệt trong lĩnh vực sáng chế, nhãn hiệu, kiểu dáng công nghiệp và giống cây trồng, có ảnh hưởng trực tiếp đến xử lý hành chính, dân sự và thậm chí hình sự. Nếu bãi bỏ điều kiện kinh doanh mà không thay thế bằng chuẩn năng lực tối thiểu và chuẩn quy trình, thị trường giám định có thể trở nên “mở” nhưng thiếu kiểm soát chất lượng. Điều này có thể làm giảm giá trị thực tiễn của kết luận giám định, gây khó cho cơ quan thực thi và làm tăng tranh chấp về chứng cứ.</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Việc cắt giảm điều kiện kinh doanh đối với dịch vụ giám định nhằm mở rộng khả năng tiếp cận thị trường của các tổ chức, cá nhân có nhu cầu thực hiện hoạt động giám định, nhưng việc thực hiện giám định vẫn phải tuân thủ những nguyên tắc nhất định quy định tại Luật SHTT (khoản 4 Điều 201), cũng như các quy định chi tiết tại Nghị định số 65/2023/NĐ-CP nhằm đảm bảo chất lượng của hoạt động này.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p>
            <w:pPr>
              <w:shd w:val="clear" w:color="auto" w:fill="FFFFFF"/>
              <w:spacing w:before="40" w:after="40" w:line="240" w:lineRule="auto"/>
              <w:jc w:val="both"/>
              <w:rPr>
                <w:rFonts w:ascii="Times New Roman" w:eastAsia="Times New Roman" w:hAnsi="Times New Roman" w:cs="Times New Roman"/>
                <w:sz w:val="24"/>
                <w:szCs w:val="24"/>
              </w:rPr>
            </w:pPr>
          </w:p>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Hội Sở hữu trí tuệ Việt Nam</w:t>
            </w:r>
          </w:p>
        </w:tc>
        <w:tc>
          <w:tcPr>
            <w:tcW w:w="5954" w:type="dxa"/>
          </w:tcPr>
          <w:p>
            <w:pPr>
              <w:shd w:val="clear" w:color="auto" w:fill="FFFFFF"/>
              <w:spacing w:before="40" w:after="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lựa chọn Phương án 2. Việc bỏ điều kiện kinh doanh đối với dịch vụ giám định là phù hợp, nhưng không đồng nghĩa với việc bỏ tiêu chuẩn năng lực chuyên môn và kiểm soát chất lượng của kết luận giám định, vì kết luận giám định có ảnh hưởng lớn đến kết quả xử lý vụ việc. </w:t>
            </w: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Khánh Hòa</w:t>
            </w:r>
          </w:p>
        </w:tc>
        <w:tc>
          <w:tcPr>
            <w:tcW w:w="5954" w:type="dxa"/>
          </w:tcPr>
          <w:p>
            <w:pPr>
              <w:shd w:val="clear" w:color="auto" w:fill="FFFFFF"/>
              <w:spacing w:before="40" w:after="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PA2. Phương án này phân định tương đối rõ hoạt động giám định đối với quyền tác giả, quyền liên quan, quyền SHCN và quyền đối với GCT.</w:t>
            </w: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Hà Nội</w:t>
            </w:r>
          </w:p>
        </w:tc>
        <w:tc>
          <w:tcPr>
            <w:tcW w:w="5954" w:type="dxa"/>
          </w:tcPr>
          <w:p>
            <w:pPr>
              <w:shd w:val="clear" w:color="auto" w:fill="FFFFFF"/>
              <w:spacing w:before="40" w:after="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Phương án 2. Lý do: Phương án 2 đã định rõ các hoạt động, phương thức để giám định của từng nhóm quyền sở hữu trí tuệ, tạo điều kiện thuận lợi trong áp dụng thực tế so với Phương án 1.</w:t>
            </w: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trike/>
                <w:sz w:val="24"/>
                <w:szCs w:val="24"/>
              </w:rPr>
              <w:t>a</w:t>
            </w:r>
            <w:r>
              <w:rPr>
                <w:rFonts w:ascii="Times New Roman" w:eastAsia="Times New Roman" w:hAnsi="Times New Roman" w:cs="Times New Roman"/>
                <w:sz w:val="24"/>
                <w:szCs w:val="24"/>
              </w:rPr>
              <w:t>. Giám định về sở hữu trí tuệ bao gồm: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Giám định về quyền tác giả và quyền liên quan;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Giám định về quyền sở hữu công nghiệp;</w:t>
            </w:r>
          </w:p>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c) Giám định về quyền đối với giống cây trồng.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T&amp;G 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SHTT hiện hành cũng như các phương án sửa đổi trong dự thảo đều quy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Tổ chức (tổ chức giám định) có thể là: doanh nghiệp, hợp tác xã, đơn vị sự nghiệp công lập, tổ chức hành nghề luật sư được thành lập và hoạt động theo quy định của pháp luật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Riêng đối tượng “tổ chức hành nghề luật sư được thành lập và hoạt động theo quy định của pháp luật” có điều kiện loại trừ là “tổ chức hành nghề luật sư nước ngoài hành nghề tại Việt Nam không được kinh doanh dịch vụ giám định SHTT”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Tuy nhiên đối tượng “doanh nghiệp” lại không có điều kiện loại trừ đó nên được hiểu là bao gồm cả doanh nghiệp Việt Nam, doanh nghiệp liên doanh, doanh nghiệp 100% vốn nước ngoài.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có sự vênh về phân loại logic nên đề nghị làm rõ điểm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Nếu tinh thần là hạn chế yếu tố “nước ngoài” trong việc giám định về SHTT thì cần bổ sung điều kiện loại trừ cho đối tượng “Doanh nghiệp”: doanh nghiệp liên doanh, doanh nghiệp 100% vốn nước ngoài;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Nếu tinh thần là hạn chế phạm vi hành nghề của “tổ chức hành nghề luật sư” “nước ngoài” thì cần rà soát để đảm bảo các căn cứ vẫn còn hiệu lực trong lĩnh vực “giám định SHTT” (là lĩnh vực cụ thể, chuyên biệt liên quan tới cả chuyên môn, kỹ thuật, tài chính, định giá ...) để trả lời câu hỏi tại sao doanh nghiệp liên doanh, doanh nghiệp 100% vốn nước ngoài có thể được hoạt động trong lĩnh vực này mà “tổ chức hành nghề luật sư nước ngoài” lại không được.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Chúng tôi đồng ý sử dụng phương án 2 cho ngắn gọn và đầy đủ</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Dự thảo Điều 201 đã được chỉnh lý theo hướng không tiếp tục quy định điều kiện kinh doanh gắn với loại hình pháp lý của tổ chức giám định, phù hợp với chủ trương cắt giảm điều kiện đầu tư kinh doanh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Đối với tổ chức hành nghề luật sư, doanh nghiệp và các tổ chức khác, việc thành lập và hoạt động được thực hiện theo pháp luật chuyên ngành tương ứng; đồng thời khi thực hiện giám định sở hữu trí tuệ phải tuân thủ Luật Sở hữu trí tuệ và các quy định của Chính phủ về hoạt động giám định.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2</w:t>
            </w:r>
            <w:r>
              <w:rPr>
                <w:rFonts w:ascii="Times New Roman" w:eastAsia="Times New Roman" w:hAnsi="Times New Roman" w:cs="Times New Roman"/>
                <w:strike/>
                <w:sz w:val="24"/>
                <w:szCs w:val="24"/>
              </w:rPr>
              <w:t>1</w:t>
            </w:r>
            <w:r>
              <w:rPr>
                <w:rFonts w:ascii="Times New Roman" w:eastAsia="Times New Roman" w:hAnsi="Times New Roman" w:cs="Times New Roman"/>
                <w:sz w:val="24"/>
                <w:szCs w:val="24"/>
              </w:rPr>
              <w:t xml:space="preserve">. Giám định về </w:t>
            </w:r>
            <w:r>
              <w:rPr>
                <w:rFonts w:ascii="Times New Roman" w:eastAsia="Times New Roman" w:hAnsi="Times New Roman" w:cs="Times New Roman"/>
                <w:b/>
                <w:bCs/>
                <w:i/>
                <w:iCs/>
                <w:sz w:val="24"/>
                <w:szCs w:val="24"/>
              </w:rPr>
              <w:t>quyền sở hữu công nghiệp, quyền đối với giống cây trồng</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 xml:space="preserve"> là việc tổ chức, cá nhân </w:t>
            </w:r>
            <w:r>
              <w:rPr>
                <w:rFonts w:ascii="Times New Roman" w:eastAsia="Times New Roman" w:hAnsi="Times New Roman" w:cs="Times New Roman"/>
                <w:strike/>
                <w:sz w:val="24"/>
                <w:szCs w:val="24"/>
              </w:rPr>
              <w:t>quy định tại khoản 2 và khoản 3 Điều này</w:t>
            </w:r>
            <w:r>
              <w:rPr>
                <w:rFonts w:ascii="Times New Roman" w:eastAsia="Times New Roman" w:hAnsi="Times New Roman" w:cs="Times New Roman"/>
                <w:sz w:val="24"/>
                <w:szCs w:val="24"/>
              </w:rPr>
              <w:t xml:space="preserve"> sử dụng kiến thức, nghiệp vụ chuyên môn để đánh giá, kết luận về những vấn đề có liên quan đến quyền </w:t>
            </w:r>
            <w:r>
              <w:rPr>
                <w:rFonts w:ascii="Times New Roman" w:eastAsia="Times New Roman" w:hAnsi="Times New Roman" w:cs="Times New Roman"/>
                <w:b/>
                <w:bCs/>
                <w:i/>
                <w:iCs/>
                <w:sz w:val="24"/>
                <w:szCs w:val="24"/>
              </w:rPr>
              <w:t>sở hữu công nghiệp, quyền đối với giống cây trồng.</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 Việc giám định tư pháp về sở hữu trí tuệ được thực hiện theo quy định của pháp luật về giám định tư pháp.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rPr>
          <w:trHeight w:val="906"/>
        </w:trPr>
        <w:tc>
          <w:tcPr>
            <w:tcW w:w="3114" w:type="dxa"/>
          </w:tcPr>
          <w:p>
            <w:pPr>
              <w:shd w:val="clear" w:color="auto" w:fill="FFFFFF"/>
              <w:spacing w:before="40" w:after="40" w:line="240" w:lineRule="auto"/>
              <w:ind w:right="43"/>
              <w:jc w:val="both"/>
              <w:rPr>
                <w:rFonts w:ascii="Times New Roman" w:eastAsia="Times New Roman" w:hAnsi="Times New Roman" w:cs="Times New Roman"/>
                <w:strike/>
                <w:sz w:val="24"/>
                <w:szCs w:val="24"/>
              </w:rPr>
            </w:pPr>
            <w:r>
              <w:rPr>
                <w:rFonts w:ascii="Times New Roman" w:eastAsia="Times New Roman" w:hAnsi="Times New Roman" w:cs="Times New Roman"/>
                <w:strike/>
                <w:sz w:val="24"/>
                <w:szCs w:val="24"/>
              </w:rPr>
              <w:t>2a. Tổ chức hành nghề luật sư nước ngoài hành nghề tại Việt Nam không được kinh doanh dịch vụ giám định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3. Giám định về quyền tác giả, quyền liên quan là việc tổ chức, cá nhân đáp ứng các yêu cầu sau, sử dụng kiến thức, nghiệp vụ chuyên môn để đánh giá, kết luận về những vấn đề có liên quan đến quyền tác giả, quyền liên quan: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a)</w:t>
            </w:r>
            <w:r>
              <w:rPr>
                <w:rFonts w:ascii="Times New Roman" w:eastAsia="Times New Roman" w:hAnsi="Times New Roman" w:cs="Times New Roman"/>
                <w:strike/>
                <w:sz w:val="24"/>
                <w:szCs w:val="24"/>
              </w:rPr>
              <w:t>2.</w:t>
            </w:r>
            <w:r>
              <w:rPr>
                <w:rFonts w:ascii="Times New Roman" w:eastAsia="Times New Roman" w:hAnsi="Times New Roman" w:cs="Times New Roman"/>
                <w:sz w:val="24"/>
                <w:szCs w:val="24"/>
              </w:rPr>
              <w:t> Doanh nghiệp, hợp tác xã, đơn vị sự nghiệp công lập, tổ chức hành nghề luật sư</w:t>
            </w:r>
            <w:r>
              <w:rPr>
                <w:rFonts w:ascii="Times New Roman" w:eastAsia="Times New Roman" w:hAnsi="Times New Roman" w:cs="Times New Roman"/>
                <w:b/>
                <w:bCs/>
                <w:i/>
                <w:iCs/>
                <w:sz w:val="24"/>
                <w:szCs w:val="24"/>
              </w:rPr>
              <w:t>, không bao gồm tổ chức hành nghề luật sư nước ngoài hành nghề tại Việt Nam,</w:t>
            </w:r>
            <w:r>
              <w:rPr>
                <w:rFonts w:ascii="Times New Roman" w:eastAsia="Times New Roman" w:hAnsi="Times New Roman" w:cs="Times New Roman"/>
                <w:sz w:val="24"/>
                <w:szCs w:val="24"/>
              </w:rPr>
              <w:t xml:space="preserve"> được thành lập và hoạt động theo quy định của pháp luật có ít nhất một cá nhân có thẻ giám định viên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 xml:space="preserve"> được thực hiện hoạt động giám định về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trike/>
                <w:sz w:val="24"/>
                <w:szCs w:val="24"/>
              </w:rPr>
              <w:t xml:space="preserve"> sở hữu trí tuệ, trừ trường hợp quy định tại khoản 2a Điều này.</w:t>
            </w:r>
            <w:r>
              <w:rPr>
                <w:rFonts w:ascii="Times New Roman" w:eastAsia="Times New Roman" w:hAnsi="Times New Roman" w:cs="Times New Roman"/>
                <w:sz w:val="24"/>
                <w:szCs w:val="24"/>
              </w:rPr>
              <w:t xml:space="preserve">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b)</w:t>
            </w:r>
            <w:r>
              <w:rPr>
                <w:rFonts w:ascii="Times New Roman" w:eastAsia="Times New Roman" w:hAnsi="Times New Roman" w:cs="Times New Roman"/>
                <w:strike/>
                <w:sz w:val="24"/>
                <w:szCs w:val="24"/>
              </w:rPr>
              <w:t>3.</w:t>
            </w:r>
            <w:r>
              <w:rPr>
                <w:rFonts w:ascii="Times New Roman" w:eastAsia="Times New Roman" w:hAnsi="Times New Roman" w:cs="Times New Roman"/>
                <w:sz w:val="24"/>
                <w:szCs w:val="24"/>
              </w:rPr>
              <w:t xml:space="preserve"> Cá nhân </w:t>
            </w:r>
            <w:r>
              <w:rPr>
                <w:rFonts w:ascii="Times New Roman" w:eastAsia="Times New Roman" w:hAnsi="Times New Roman" w:cs="Times New Roman"/>
                <w:strike/>
                <w:sz w:val="24"/>
                <w:szCs w:val="24"/>
              </w:rPr>
              <w:t>có đủ các điều kiện sau đây</w:t>
            </w:r>
            <w:r>
              <w:rPr>
                <w:rFonts w:ascii="Times New Roman" w:eastAsia="Times New Roman" w:hAnsi="Times New Roman" w:cs="Times New Roman"/>
                <w:sz w:val="24"/>
                <w:szCs w:val="24"/>
              </w:rPr>
              <w:t xml:space="preserve"> được cơ quan nhà nước có thẩm quyền cấp Thẻ giám định viên </w:t>
            </w:r>
            <w:r>
              <w:rPr>
                <w:rFonts w:ascii="Times New Roman" w:eastAsia="Times New Roman" w:hAnsi="Times New Roman" w:cs="Times New Roman"/>
                <w:b/>
                <w:bCs/>
                <w:i/>
                <w:iCs/>
                <w:sz w:val="24"/>
                <w:szCs w:val="24"/>
              </w:rPr>
              <w:t>quyền tác giả, quyền liên quan nếu có đủ các điều kiện sau đây</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b1</w:t>
            </w:r>
            <w:r>
              <w:rPr>
                <w:rFonts w:ascii="Times New Roman" w:eastAsia="Times New Roman" w:hAnsi="Times New Roman" w:cs="Times New Roman"/>
                <w:strike/>
                <w:sz w:val="24"/>
                <w:szCs w:val="24"/>
              </w:rPr>
              <w:t>a</w:t>
            </w:r>
            <w:r>
              <w:rPr>
                <w:rFonts w:ascii="Times New Roman" w:eastAsia="Times New Roman" w:hAnsi="Times New Roman" w:cs="Times New Roman"/>
                <w:sz w:val="24"/>
                <w:szCs w:val="24"/>
              </w:rPr>
              <w:t>) Là công dân Việt Nam, có năng lực hành vi dân sự đầy đủ;</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w:t>
            </w:r>
            <w:r>
              <w:rPr>
                <w:rFonts w:ascii="Times New Roman" w:eastAsia="Times New Roman" w:hAnsi="Times New Roman" w:cs="Times New Roman"/>
                <w:b/>
                <w:bCs/>
                <w:i/>
                <w:iCs/>
                <w:sz w:val="24"/>
                <w:szCs w:val="24"/>
              </w:rPr>
              <w:t>2</w:t>
            </w:r>
            <w:r>
              <w:rPr>
                <w:rFonts w:ascii="Times New Roman" w:eastAsia="Times New Roman" w:hAnsi="Times New Roman" w:cs="Times New Roman"/>
                <w:sz w:val="24"/>
                <w:szCs w:val="24"/>
              </w:rPr>
              <w:t>) Thường trú tại Việt Nam;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b3</w:t>
            </w:r>
            <w:r>
              <w:rPr>
                <w:rFonts w:ascii="Times New Roman" w:eastAsia="Times New Roman" w:hAnsi="Times New Roman" w:cs="Times New Roman"/>
                <w:strike/>
                <w:sz w:val="24"/>
                <w:szCs w:val="24"/>
              </w:rPr>
              <w:t>c</w:t>
            </w:r>
            <w:r>
              <w:rPr>
                <w:rFonts w:ascii="Times New Roman" w:eastAsia="Times New Roman" w:hAnsi="Times New Roman" w:cs="Times New Roman"/>
                <w:sz w:val="24"/>
                <w:szCs w:val="24"/>
              </w:rPr>
              <w:t>) Có phẩm chất đạo đức tốt;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b4</w:t>
            </w:r>
            <w:r>
              <w:rPr>
                <w:rFonts w:ascii="Times New Roman" w:eastAsia="Times New Roman" w:hAnsi="Times New Roman" w:cs="Times New Roman"/>
                <w:strike/>
                <w:sz w:val="24"/>
                <w:szCs w:val="24"/>
              </w:rPr>
              <w:t>d</w:t>
            </w:r>
            <w:r>
              <w:rPr>
                <w:rFonts w:ascii="Times New Roman" w:eastAsia="Times New Roman" w:hAnsi="Times New Roman" w:cs="Times New Roman"/>
                <w:sz w:val="24"/>
                <w:szCs w:val="24"/>
              </w:rPr>
              <w:t>) Có trình độ đại học trở lên về chuyên ngành phù hợp với lĩnh vực đề nghị cấp thẻ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b5</w:t>
            </w:r>
            <w:r>
              <w:rPr>
                <w:rFonts w:ascii="Times New Roman" w:eastAsia="Times New Roman" w:hAnsi="Times New Roman" w:cs="Times New Roman"/>
                <w:strike/>
                <w:sz w:val="24"/>
                <w:szCs w:val="24"/>
              </w:rPr>
              <w:t>đ</w:t>
            </w:r>
            <w:r>
              <w:rPr>
                <w:rFonts w:ascii="Times New Roman" w:eastAsia="Times New Roman" w:hAnsi="Times New Roman" w:cs="Times New Roman"/>
                <w:sz w:val="24"/>
                <w:szCs w:val="24"/>
              </w:rPr>
              <w:t xml:space="preserve">) Thuộc một trong các trường hợp sau: đã qua thực tế hoạt động chuyên môn trong lĩnh vực đề nghị cấp thẻ giám định viên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 xml:space="preserve"> từ đủ năm năm trở lên và được chứng nhận đạt yêu cầu khóa đào tạo nghiệp vụ về giám định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 xml:space="preserve">; trực tiếp tham gia giải quyết tranh chấp về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sở hữu trí tuệ</w:t>
            </w:r>
            <w:r>
              <w:rPr>
                <w:rFonts w:ascii="Times New Roman" w:eastAsia="Times New Roman" w:hAnsi="Times New Roman" w:cs="Times New Roman"/>
                <w:sz w:val="24"/>
                <w:szCs w:val="24"/>
              </w:rPr>
              <w:t xml:space="preserve"> tại Tòa án và tổ chức trọng tài từ đủ mười lăm năm trở lên và thời gian gián đoạn (nếu có) không quá hai năm tính đến thời điểm đề nghị cấp thẻ giám định viên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 xml:space="preserve">; trực tiếp tham gia hỗ trợ chuyên môn trong công tác giám định về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 xml:space="preserve"> tại tổ chức giám định từ đủ mười lăm năm trở lên và thời gian gián đoạn (nếu có) không quá hai năm tính đến thời điểm đề nghị cấp thẻ giám định viên </w:t>
            </w:r>
            <w:r>
              <w:rPr>
                <w:rFonts w:ascii="Times New Roman" w:eastAsia="Times New Roman" w:hAnsi="Times New Roman" w:cs="Times New Roman"/>
                <w:b/>
                <w:bCs/>
                <w:i/>
                <w:iCs/>
                <w:sz w:val="24"/>
                <w:szCs w:val="24"/>
              </w:rPr>
              <w:t>quyền tác giả, quyền liên quan</w:t>
            </w:r>
            <w:r>
              <w:rPr>
                <w:rFonts w:ascii="Times New Roman" w:eastAsia="Times New Roman" w:hAnsi="Times New Roman" w:cs="Times New Roman"/>
                <w:sz w:val="24"/>
                <w:szCs w:val="24"/>
              </w:rPr>
              <w:t xml:space="preserve"> </w:t>
            </w:r>
            <w:r>
              <w:rPr>
                <w:rFonts w:ascii="Times New Roman" w:eastAsia="Times New Roman" w:hAnsi="Times New Roman" w:cs="Times New Roman"/>
                <w:strike/>
                <w:sz w:val="24"/>
                <w:szCs w:val="24"/>
              </w:rPr>
              <w:t>sở hữu trí tuệ</w:t>
            </w:r>
            <w:r>
              <w:rPr>
                <w:rFonts w:ascii="Times New Roman" w:eastAsia="Times New Roman" w:hAnsi="Times New Roman" w:cs="Times New Roman"/>
                <w:sz w:val="24"/>
                <w:szCs w:val="24"/>
              </w:rPr>
              <w:t>.</w:t>
            </w:r>
          </w:p>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rPr>
              <w:t>c) Trường hợp người được cấp thẻ giám định viên quyền tác giả, quyền liên quan không còn đáp ứng các điều kiện theo quy định tại điểm b khoản này, cơ quan nhà nước có thẩm quyền thu hồi thẻ giám định viên quyền tác giả, quyền liên quan.</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Điểm b5 khoản 3: cụm </w:t>
            </w:r>
            <w:r>
              <w:rPr>
                <w:rFonts w:ascii="Times New Roman" w:eastAsia="Times New Roman" w:hAnsi="Times New Roman" w:cs="Times New Roman"/>
                <w:b/>
                <w:bCs/>
                <w:i/>
                <w:iCs/>
                <w:sz w:val="24"/>
                <w:szCs w:val="24"/>
                <w:u w:val="single"/>
              </w:rPr>
              <w:t>"tại Tòa án và tổ chức trọng tài"</w:t>
            </w:r>
            <w:r>
              <w:rPr>
                <w:rFonts w:ascii="Times New Roman" w:eastAsia="Times New Roman" w:hAnsi="Times New Roman" w:cs="Times New Roman"/>
                <w:sz w:val="24"/>
                <w:szCs w:val="24"/>
              </w:rPr>
              <w:t xml:space="preserve"> nên sửa </w:t>
            </w:r>
            <w:r>
              <w:rPr>
                <w:rFonts w:ascii="Times New Roman" w:eastAsia="Times New Roman" w:hAnsi="Times New Roman" w:cs="Times New Roman"/>
                <w:b/>
                <w:bCs/>
                <w:i/>
                <w:iCs/>
                <w:sz w:val="24"/>
                <w:szCs w:val="24"/>
                <w:u w:val="single"/>
              </w:rPr>
              <w:t>thành "tại Tòa án hoặc tổ chức trọng tài".</w:t>
            </w:r>
            <w:r>
              <w:rPr>
                <w:rFonts w:ascii="Times New Roman" w:eastAsia="Times New Roman" w:hAnsi="Times New Roman" w:cs="Times New Roman"/>
                <w:sz w:val="24"/>
                <w:szCs w:val="24"/>
              </w:rPr>
              <w:t xml:space="preserve"> Rất ít cá nhân có đủ mười lăm năm kinh nghiệm đồng thời ở cả hai thiết chế; chữ "và" theo cách đọc chặt sẽ khép gần hết đường vào của nhánh kinh nghiệm này, trái với mục tiêu mở của quy định. Đây có thể là lỗi logic trong quá trình soạn thảo, kính đề nghị Ban soạn thảo xem xét lại.</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w:t>
            </w:r>
            <w:r>
              <w:rPr>
                <w:rFonts w:eastAsia="Times New Roman"/>
                <w:sz w:val="24"/>
                <w:szCs w:val="24"/>
              </w:rPr>
              <w:t xml:space="preserve"> một phần</w:t>
            </w:r>
            <w:r>
              <w:rPr>
                <w:rFonts w:ascii="Times New Roman" w:eastAsia="Times New Roman" w:hAnsi="Times New Roman" w:cs="Times New Roman"/>
                <w:sz w:val="24"/>
                <w:szCs w:val="24"/>
              </w:rPr>
              <w:t>.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trike/>
                <w:sz w:val="24"/>
                <w:szCs w:val="24"/>
                <w:u w:val="single"/>
              </w:rPr>
            </w:pPr>
            <w:r>
              <w:rPr>
                <w:rFonts w:ascii="Times New Roman" w:eastAsia="Times New Roman" w:hAnsi="Times New Roman" w:cs="Times New Roman"/>
                <w:strike/>
                <w:sz w:val="24"/>
                <w:szCs w:val="24"/>
              </w:rPr>
              <w:t>3a. Trường hợp người được cấp thẻ giám định viên sở hữu trí tuệ không còn đáp ứng các điều kiện theo quy định tại khoản 3 Điều này, cơ quan nhà nước có thẩm quyền thu hồi thẻ giám định viên sở hữu trí tuệ.</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Nguyên tắc thực hiện giám định bao gồm: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Tuân thủ pháp luật, tuân theo trình tự, thủ tục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Trung thực, chính xác, khách quan, vô tư, kịp thời.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Chỉ kết luận về chuyên môn những vấn đề trong phạm vi được yêu cầu.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 Chịu trách nhiệm trước pháp luật về kết luận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 </w:t>
            </w:r>
            <w:r>
              <w:rPr>
                <w:rFonts w:ascii="Times New Roman" w:eastAsia="Times New Roman" w:hAnsi="Times New Roman" w:cs="Times New Roman"/>
                <w:b/>
                <w:bCs/>
                <w:i/>
                <w:iCs/>
                <w:sz w:val="24"/>
                <w:szCs w:val="24"/>
              </w:rPr>
              <w:t>Chỉ thực hiện giám định khi có kiến thức, nghiệp vụ chuyên môn trong lĩnh vực được yêu cầu giám định;</w:t>
            </w:r>
          </w:p>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rPr>
              <w:t>e)</w:t>
            </w:r>
            <w:r>
              <w:rPr>
                <w:rFonts w:ascii="Times New Roman" w:eastAsia="Times New Roman" w:hAnsi="Times New Roman" w:cs="Times New Roman"/>
                <w:sz w:val="24"/>
                <w:szCs w:val="24"/>
              </w:rPr>
              <w:t xml:space="preserve"> Chi phí giám định được xác định theo thỏa thuận giữa người có yêu cầu giám định và tổ chức, cá nhân giám định.</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Bổ sung nguyên tắc minh bạch phương pháp giám định vào khoản 4. Giám định quyền tác giả, quyền liên quan trong môi trường số ngày càng dựa vào công cụ kỹ thuật, trong đó có hệ thống đối chiếu tự động (content matching, được hiểu là phần mềm so khớp nội dung số để phát hiện phần trùng lặp). Sử dụng công cụ là xu hướng đúng, nhưng kết luận chỉ kiểm chứng được khi phương pháp và công cụ được nêu rõ. Nội dung cụ thể đề xuất, bổ sung một điểm vào khoản 4:</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“Kết luận giám định nêu rõ phương pháp, tài liệu và công cụ đã sử dụng, bao gồm công cụ đối chiếu, so khớp tự động nếu có, theo cách thức có thể kiểm chứng được.”</w:t>
            </w:r>
          </w:p>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Khoản 4 đã ghi nhận các nguyên tắc </w:t>
            </w:r>
            <w:r>
              <w:rPr>
                <w:rFonts w:ascii="Times New Roman" w:eastAsia="Times New Roman" w:hAnsi="Times New Roman" w:cs="Times New Roman"/>
                <w:b/>
                <w:bCs/>
                <w:i/>
                <w:iCs/>
                <w:sz w:val="24"/>
                <w:szCs w:val="24"/>
                <w:u w:val="single"/>
              </w:rPr>
              <w:t>"trung thực, chính xác, khách quan, vô tư",</w:t>
            </w:r>
            <w:r>
              <w:rPr>
                <w:rFonts w:ascii="Times New Roman" w:eastAsia="Times New Roman" w:hAnsi="Times New Roman" w:cs="Times New Roman"/>
                <w:sz w:val="24"/>
                <w:szCs w:val="24"/>
              </w:rPr>
              <w:t xml:space="preserve"> nhưng chưa có quy định cụ thể về xung đột lợi ích và nghĩa vụ từ chối thực hiện giám định khi người hoặc tổ chức giám định có quyền lợi, nghĩa vụ hoặc mối quan hệ có khả năng ảnh hưởng đến tính độc lập, khách quan. Vấn đề này càng cần được lưu ý khi Phương án 2 mở rộng chủ thể thực hiện giám định, trong đó có tổ chức hành nghề luật sư. Nội dung cụ thể đề xuất, bổ sung vào khoản 4:</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“Tổ chức, cá nhân thực hiện giám định phải bảo đảm tính độc lập, khách quan; không thực hiện giám định trong trường hợp có xung đột lợi ích có khả năng ảnh hưởng đến tính độc lập, khách quan của hoạt động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đề nghị giao Chính phủ quy định cụ thể các trường hợp xung đột lợi ích và cơ chế xử lý tương ứng, bao gồm trường hợp tổ chức, cá nhân thực hiện giám định đồng thời cung cấp dịch vụ tư vấn, đại diện hoặc dịch vụ pháp lý cho một bên có quyền lợi liên quan đến đối tượng giám định hoặc có lợi ích trực tiếp trong kết quả giám định.</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p>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Khoản 4, Điều 201 quy định người thực hiện giám định phải chịu trách nhiệm trước pháp luật về kết luận giám định, nhưng dự thảo chưa xác định trường hợp kết luận đã được ban hành nhưng sau đó phát hiện có vi phạm nguyên tắc giám định hoặc không đáp ứng điều kiện theo quy định thì được xử lý như thế nào.</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cụ thể đề xuất:  bổ sung quy định về các trường hợp không công nhận hoặc hủy bỏ giá trị của kết luận giám định, trong đó có thể bao gồm trường hợp vi phạm nghiêm trọng nguyên tắc trung thực, chính xác, khách quan, vô tư; có xung đột lợi ích; người ký kết luận không đáp ứng điều kiện, tiêu chuẩn năng lực; thực hiện giám định vượt quá phạm vi chuyên môn hoặc yêu cầu; hoặc vi phạm nghiêm trọng trình tự, thủ tục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giao Chính phủ quy định căn cứ, thẩm quyền và trình tự xử lý đối với các trường hợp này.</w:t>
            </w:r>
          </w:p>
        </w:tc>
        <w:tc>
          <w:tcPr>
            <w:tcW w:w="4253" w:type="dxa"/>
            <w:vMerge/>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Chủ thể quyền sở hữu trí tuệ và tổ chức, cá nhân khác có liên quan có quyền yêu cầu giám định về sở hữu trí tuệ để bảo vệ quyền và lợi ích hợp pháp của mình. Cơ quan nhà nước có thẩm quyền xử lý hành vi xâm phạm quyền sở hữu trí tuệ có quyền yêu cầu giám định về sở hữu trí tuệ khi giải quyết vụ việc mà mình đang thụ lý. </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Đối với lĩnh vực giám định quyền tác giả, quyền liên quan, </w:t>
            </w:r>
            <w:r>
              <w:rPr>
                <w:rFonts w:ascii="Times New Roman" w:eastAsia="Times New Roman" w:hAnsi="Times New Roman" w:cs="Times New Roman"/>
                <w:strike/>
                <w:sz w:val="24"/>
                <w:szCs w:val="24"/>
              </w:rPr>
              <w:t>K</w:t>
            </w:r>
            <w:r>
              <w:rPr>
                <w:rFonts w:ascii="Times New Roman" w:eastAsia="Times New Roman" w:hAnsi="Times New Roman" w:cs="Times New Roman"/>
                <w:b/>
                <w:bCs/>
                <w:i/>
                <w:iCs/>
                <w:sz w:val="24"/>
                <w:szCs w:val="24"/>
              </w:rPr>
              <w:t>k</w:t>
            </w:r>
            <w:r>
              <w:rPr>
                <w:rFonts w:ascii="Times New Roman" w:eastAsia="Times New Roman" w:hAnsi="Times New Roman" w:cs="Times New Roman"/>
                <w:sz w:val="24"/>
                <w:szCs w:val="24"/>
              </w:rPr>
              <w:t>ết luận giám định là một trong các nguồn chứng cứ để cơ quan có thẩm quyền xử lý, giải quyết vụ việc.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Đối với lĩnh vực giám định quyền sở hữu công nghiệp, quyền đối với giống cây trồng, kết luận giám định được công nhận là một trong các nguồn chứng cứ hợp pháp để cơ quan có thẩm quyền xử lý, giải quyết vụ việc nếu việc giám định được thực hiện phù hợp với quy định pháp luật và kết luận giám định được ký xác nhận bởi cá nhân đáp ứng chuẩn năng lực giám định viên sở hữu công nghiệp, giám định viên quyền đối với giống cây trồng.</w:t>
            </w:r>
          </w:p>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Kết luận giám định không kết luận về hành vi xâm phạm quyền sở hữu trí tuệ hoặc kết luận về vụ tranh chấp.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vào khoản 5 như sau:</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“5. […] Kết luận giám định là một trong các nguồn chứng cứ để cơ quan có thẩm quyền xử lý, giải quyết vụ việc. Kết luận giám định không kết luận về hành vi xâm phạm quyền sở hữu trí tuệ hoặc kết luận về vụ tranh chấp. </w:t>
            </w:r>
            <w:r>
              <w:rPr>
                <w:rFonts w:ascii="Times New Roman" w:eastAsia="Times New Roman" w:hAnsi="Times New Roman" w:cs="Times New Roman"/>
                <w:b/>
                <w:bCs/>
                <w:i/>
                <w:iCs/>
                <w:sz w:val="24"/>
                <w:szCs w:val="24"/>
                <w:u w:val="single"/>
              </w:rPr>
              <w:t>Khi đánh giá, sử dụng kết luận giám định, cơ quan có thẩm quyền xem xét tư cách và tính độc lập của chủ thể thực hiện giám định; nguồn gốc, tình trạng và tính đồng nhất của mẫu vật được giám định so với đối tượng trên thực tế; phương pháp và tài liệu so sánh được sử dụng; phạm vi của kết luận giám định</w:t>
            </w:r>
            <w:r>
              <w:rPr>
                <w:rFonts w:ascii="Times New Roman" w:eastAsia="Times New Roman" w:hAnsi="Times New Roman" w:cs="Times New Roman"/>
                <w:i/>
                <w:iCs/>
                <w:sz w:val="24"/>
                <w:szCs w:val="24"/>
              </w:rPr>
              <w: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bổ sung tiêu chí đánh giá kết luận giám định vào khoản 5 xuất phát từ thực tiễn xét xử: đã có vụ việc mà mẫu vật đem đi giám định khác biệt với sản phẩm thực tế đang lưu thông trên thị trường, nhưng cơ quan giải quyết vụ việc không kiểm tra lại tính đồng nhất của mẫu vật, dẫn đến kết luận thiếu chính xác.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Ngoài các nguyên tắc chung và cơ bản được đề cập tại khoản 4 Điều 201, quy định liên quan đến quyền và nghĩa vụ của tổ chức giám định, cá nhân thực hiện giám định, các quy định liên quan đến mẫu vật, tiếp nhận và bảo quản mẫu vật, phạm vi kết luận giám định v.v. đã được quy định tại Chương V về giám định sở hữu công nghiệp, quyền đối với giống cây trồng của Nghị định 65/2023/NĐ-CP. Việc đánh giá chất lượng, giá trị của kết luận giám định cũng như người thực hiện giám định thuộc thẩm quyền của cơ quan có thẩm quyền được thực hiện trên cơ sở các quy định này và theo các thủ tục tố tụng tương ứng của pháp luật khác có liên quan, vì vậy không cần thiết phải bổ sung trong Điều này.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Tài chính</w:t>
            </w:r>
          </w:p>
        </w:tc>
        <w:tc>
          <w:tcPr>
            <w:tcW w:w="595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Đề nghị Bộ Khoa học và Công nghệ bỏ đoạn </w:t>
            </w:r>
            <w:r>
              <w:rPr>
                <w:rFonts w:ascii="Times New Roman" w:eastAsia="Times New Roman" w:hAnsi="Times New Roman" w:cs="Times New Roman"/>
                <w:b/>
                <w:bCs/>
                <w:i/>
                <w:iCs/>
                <w:sz w:val="24"/>
                <w:szCs w:val="24"/>
                <w:u w:val="single"/>
              </w:rPr>
              <w:t>“Kết luận giám định không kết luận về hành vi xâm phạm quyền sở hữu trí tuệ hoặc kết luận về vụ tranh chấp.”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Phương án 2 có đề cập đến giá trị của Kết luận giám định (nội dung này quan trọng đối với các cơ quan thực thi) và các quy định tại khoản 5 đã khẳng định kết luận giám định là một trong các nguồn chứng cứ để cơ quan có thẩm quyền xử lý, giải quyết vụ việc (không phải kết luận).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đã giữ nguyên quy định này. Mặc dù đã có quy định kết luận giám định là nguồn chứng cứ, nhưng việc xem xét giá trị, chất lượng của nguồn chứng cứ để từ đó đưa ra kết luận về hành vi xâm phạm vẫn phải thuộc thẩm quyền chủ động của cơ quan thực thi. Vì vậy quy định “</w:t>
            </w:r>
            <w:r>
              <w:rPr>
                <w:rFonts w:ascii="Times New Roman" w:eastAsia="Times New Roman" w:hAnsi="Times New Roman" w:cs="Times New Roman"/>
                <w:i/>
                <w:iCs/>
                <w:sz w:val="24"/>
                <w:szCs w:val="24"/>
              </w:rPr>
              <w:t>Kết luận giám định không kết luận về hành vi xâm phạm quyền sở hữu trí tuệ hoặc kết luận về vụ tranh chấp</w:t>
            </w:r>
            <w:r>
              <w:rPr>
                <w:rFonts w:ascii="Times New Roman" w:eastAsia="Times New Roman" w:hAnsi="Times New Roman" w:cs="Times New Roman"/>
                <w:sz w:val="24"/>
                <w:szCs w:val="24"/>
              </w:rPr>
              <w:t xml:space="preserve">” chính là nhằm làm rõ thẩm quyền chủ động của các cơ quan này sau khi xem xét kết luận giám định và làm rõ kết luận giám định là một đánh giá chuyên môn về một vấn đề cụ thể của vụ việc, không thay thế và không phải là kết luận về tranh chấp, vốn thuộc thẩm quyền của cơ quan thực thi.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PA2 hiện đề xuất KLGĐ SHCN được “công nhận là một trong các nguồn chứng cứ hợp pháp” nếu đáp ứng các điều kiện nhất định. Theo chúng tôi, cách viết này không cần thiết và dễ giao thoa với pháp luật tố tụng. Nên sửa thành:</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“Kết luận giám định có thể được sử dụng làm nguồn chứng cứ theo quy định của pháp luật tố tụng và pháp luật có liên quan. Giá trị chứng minh của kết luận giám định do cơ quan có thẩm quyền đánh giá cùng với các chứng cứ khác của vụ việc.”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giữ nguyên nguyên tắc:</w:t>
            </w:r>
          </w:p>
          <w:p>
            <w:pPr>
              <w:shd w:val="clear" w:color="auto" w:fill="FFFFFF"/>
              <w:spacing w:before="40" w:after="4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“Kết luận giám định không kết luận về hành vi xâm phạm quyền sở hữu trí tuệ hoặc kết luận về vụ tranh chấp.”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này bảo đảm giám định viên chỉ trả lời câu hỏi chuyên môn, không thay cơ quan xử lý hoặc Tòa án quyết định vấn đề pháp lý.</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đã bỏ lời văn viết tại PA2 để quay về lời văn trước đây về việc kết luận giám định là nguồn chứng cứ. Còn việc đánh giá chất lượng và tính hợp pháp của nguồn chứng cứ phụ thuộc vào cơ quan có thẩm quyền xem xét.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T&amp;G 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khoản 5, chúng tôi đồng ý sử dụng phương án 2. Tuy nhiên, cần làm rõ hơn hai trường hợp: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Trường hợp 1: Một trong hai bên chủ động xin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Trường hợp 2: Cơ quan chức năng xin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có những quy định để đảm bảo các tiêu chí giám định được đồng nhất. Trong trường hợp có sự vênh về kết quả thì sẽ như thế nào.</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OPIC và Cộng sự</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Cần phân định rõ kết luận chuyên môn của giám định viên với kết luận pháp lý của cơ quan có thẩm quyền. Giám định viên chỉ đưa ra kết luận trong phạm vi chuyên môn được yêu cầu, không thay thế cơ quan có thẩm quyền trong việc xác định hành vi xâm phạm hoặc quyết định trách nhiệm pháp lý.</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Giữ nguyên lời văn cũ với các quy định đã làm rõ kết luận giám định chỉ là nguồn chứng cứ và không kết luận về hành vi xâm phạm hoặc kết luận về vụ việc tranh chấp.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Khoản 3 Phương án 2 quy định tổ chức, cá nhân đáp ứng yêu cầu </w:t>
            </w:r>
            <w:r>
              <w:rPr>
                <w:rFonts w:ascii="Times New Roman" w:eastAsia="Times New Roman" w:hAnsi="Times New Roman" w:cs="Times New Roman"/>
                <w:b/>
                <w:bCs/>
                <w:i/>
                <w:iCs/>
                <w:sz w:val="24"/>
                <w:szCs w:val="24"/>
              </w:rPr>
              <w:t>"được thực hiện hoạt động giám định"</w:t>
            </w:r>
            <w:r>
              <w:rPr>
                <w:rFonts w:ascii="Times New Roman" w:eastAsia="Times New Roman" w:hAnsi="Times New Roman" w:cs="Times New Roman"/>
                <w:sz w:val="24"/>
                <w:szCs w:val="24"/>
              </w:rPr>
              <w:t xml:space="preserve">, nhưng đoạn 2 khoản 5 chỉ viết </w:t>
            </w:r>
            <w:r>
              <w:rPr>
                <w:rFonts w:ascii="Times New Roman" w:eastAsia="Times New Roman" w:hAnsi="Times New Roman" w:cs="Times New Roman"/>
                <w:b/>
                <w:bCs/>
                <w:i/>
                <w:iCs/>
                <w:sz w:val="24"/>
                <w:szCs w:val="24"/>
              </w:rPr>
              <w:t xml:space="preserve">"kết luận giám định là một trong các nguồn chứng cứ" </w:t>
            </w:r>
            <w:r>
              <w:rPr>
                <w:rFonts w:ascii="Times New Roman" w:eastAsia="Times New Roman" w:hAnsi="Times New Roman" w:cs="Times New Roman"/>
                <w:sz w:val="24"/>
                <w:szCs w:val="24"/>
              </w:rPr>
              <w:t>mà không gắn với chủ thể tại khoản 3. Cách viết này để ngỏ khả năng văn bản do chủ thể không đáp ứng khoản 3 lập ra vẫn được viện dẫn như kết luận giám định. Đồng thời, giữa hai đoạn của khoản 5 đang có hai mức công nhận khác nhau ("một trong các nguồn chứng cứ" đối với quyền tác giả, "nguồn chứng cứ hợp pháp" kèm điều kiện đối với sở hữu công nghiệp) mà không có thuyết minh về lý do phân biệt. Nội dung cụ thể đề xuất, sửa đoạn 2 khoản 5:</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“Đối với lĩnh vực giám định quyền tác giả, quyền liên quan, kết luận giám định do tổ chức, cá nhân quy định tại khoản 3 Điều này thực hiện là một trong các nguồn chứng cứ để cơ quan có thẩm quyền xử lý, giải quyết vụ việc.”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một phần.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 </w:t>
            </w:r>
          </w:p>
        </w:tc>
      </w:tr>
      <w:tr>
        <w:tc>
          <w:tcPr>
            <w:tcW w:w="311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Khoản 5 Điều 201 dự thảo quy định kết luận giám định là một trong các nguồn chứng cứ để cơ quan có thẩm quyền xem xét, đánh giá và giải quyết vụ việc. Tuy nhiên, dự thảo chưa quy định cơ chế xử lý trường hợp có các kết luận giám định khác nhau về cùng một đối tượng hoặc nội dung.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đề nghị cơ quan soạn thảo tham khảo cơ chế giám định lại theo pháp luật về giám định tư pháp, theo đó, trường hợp có sự khác nhau giữa các kết luận giám định, việc giám định lại có thể được thực hiện bởi Hội đồng giám định gồm các chuyên gia có trình độ chuyên môn cao và uy tín trong lĩnh vực cần giám định.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cần nghiên cứu xác lập điểm dừng của hoạt động giám định lại, nhằm tránh tình trạng một vụ việc được thực hiện giám định nhiều lần bởi nhiều tổ chức khác nhau nhưng vẫn không có cơ chế xử lý khi kết quả không thống nhất. Kết luận của Hội đồng giám định lại có thể được xác định là cơ sở chuyên môn cuối cùng để cơ quan có thẩm quyền xem xét, đánh giá, nhưng không làm thay đổi nguyên tắc cơ quan có thẩm quyền phải đánh giá kết luận giám định cùng với các nguồn chứng cứ khác khi giải quyết vụ việc.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cụ thể đề xuất: Đề nghị giao Chính phủ quy định về điều kiện, thẩm quyền yêu cầu giám định lại; trường hợp được giám định lại; thành phần, tiêu chuẩn của Hội đồng giám định lại; giá trị của kết luận giám định lại và cơ chế xử lý trong trường hợp kết luận giám định lại vẫn có sự khác biệt, bảo đảm thống nhất với pháp luật về giám định tư pháp và pháp luật tố tụng có liên quan.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pBdr>
                <w:top w:val="nil"/>
                <w:left w:val="nil"/>
                <w:bottom w:val="nil"/>
                <w:right w:val="nil"/>
                <w:between w:val="nil"/>
              </w:pBd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Giữ nguyên lời văn cũ với các quy định đã làm rõ kết luận giám định chỉ là nguồn chứng cứ và không kết luận về hành vi xâm phạm hoặc kết luận về vụ việc tranh chấp.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rPr>
              <w:t>6. Việc giám định tư pháp về sở hữu trí tuệ được thực hiện theo quy định của pháp luật về giám định tư pháp.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T&amp;G 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khoản 6 thì đề xuất giữ nguyên bởi cần chia ra làm 2 hình thức giám định là giám định tư pháp và giám định thông thường. Giám định tư pháp là theo bộ luật tố tụng dân sự</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chỉnh sửa lời văn theo hướng giao Chính phủ quy định chi tiết để chủ động trong quá trình sửa đổi Nghị định..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i/>
                <w:iCs/>
                <w:sz w:val="24"/>
                <w:szCs w:val="24"/>
              </w:rPr>
            </w:pPr>
            <w:r>
              <w:rPr>
                <w:rFonts w:ascii="Times New Roman" w:eastAsia="Times New Roman" w:hAnsi="Times New Roman" w:cs="Times New Roman"/>
                <w:strike/>
                <w:sz w:val="24"/>
                <w:szCs w:val="24"/>
              </w:rPr>
              <w:t xml:space="preserve">6. </w:t>
            </w:r>
            <w:r>
              <w:rPr>
                <w:rFonts w:ascii="Times New Roman" w:eastAsia="Times New Roman" w:hAnsi="Times New Roman" w:cs="Times New Roman"/>
                <w:b/>
                <w:bCs/>
                <w:i/>
                <w:iCs/>
                <w:sz w:val="24"/>
                <w:szCs w:val="24"/>
              </w:rPr>
              <w:t xml:space="preserve">7. </w:t>
            </w:r>
            <w:r>
              <w:rPr>
                <w:rFonts w:ascii="Times New Roman" w:eastAsia="Times New Roman" w:hAnsi="Times New Roman" w:cs="Times New Roman"/>
                <w:sz w:val="24"/>
                <w:szCs w:val="24"/>
              </w:rPr>
              <w:t>Chính phủ quy định</w:t>
            </w:r>
            <w:r>
              <w:rPr>
                <w:rFonts w:ascii="Times New Roman" w:eastAsia="Times New Roman" w:hAnsi="Times New Roman" w:cs="Times New Roman"/>
                <w:strike/>
                <w:sz w:val="24"/>
                <w:szCs w:val="24"/>
              </w:rPr>
              <w:t xml:space="preserve"> cụ thể về tổ chức và hoạt động giám định về sở hữu trí tuệ</w:t>
            </w:r>
            <w:r>
              <w:rPr>
                <w:rFonts w:ascii="Times New Roman" w:eastAsia="Times New Roman" w:hAnsi="Times New Roman" w:cs="Times New Roman"/>
                <w:b/>
                <w:bCs/>
                <w:i/>
                <w:iCs/>
                <w:sz w:val="24"/>
                <w:szCs w:val="24"/>
              </w:rPr>
              <w:t xml:space="preserve"> chi tiết Điều này</w:t>
            </w:r>
            <w:r>
              <w:rPr>
                <w:rFonts w:ascii="Times New Roman" w:eastAsia="Times New Roman" w:hAnsi="Times New Roman" w:cs="Times New Roman"/>
                <w:sz w:val="24"/>
                <w:szCs w:val="24"/>
              </w:rPr>
              <w: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khi Chính phủ quy định chi tiết theo khoản 7, bổ sung nghĩa vụ của cơ quan cấp thẻ trong việc công bố trực tuyến danh sách cá nhân có thẻ và tổ chức đủ điều kiện, để cơ quan tố tụng và các bên tra cứu được ngay tình trạng của người ký kết luận.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Đã bổ sung quy định về việc bổ sung quy định về nghĩa vụ thông báo của tổ chức giám định, giám định viên khi hoạt động giám định để thực hiện chức năng quản lý nhà nước về số lượng tổ chức giám định, giám định viên đang hoạt động. Các thông tin do tổ chức, cá nhân thông báo tới cơ quan nhà nước có thẩm quyền sẽ được công bố trên cơ sở tổ chức, cá nhân thông báo tự chịu trách nhiệm về tính chính xác của thông tin.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Bên cạnh đó, đã sửa đổi, bổ sung khoản này để làm cơ sở quy định chi tiết tại Nghị định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19. Thay thế một số cụm từ, bãi bỏ một số điều như sau: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Thay thế cụm từ </w:t>
            </w:r>
            <w:r>
              <w:rPr>
                <w:rFonts w:ascii="Times New Roman" w:eastAsia="Times New Roman" w:hAnsi="Times New Roman" w:cs="Times New Roman"/>
                <w:i/>
                <w:iCs/>
                <w:sz w:val="24"/>
                <w:szCs w:val="24"/>
              </w:rPr>
              <w:t xml:space="preserve">“tạp chí chuyên ngành về giống cây trồng” </w:t>
            </w:r>
            <w:r>
              <w:rPr>
                <w:rFonts w:ascii="Times New Roman" w:eastAsia="Times New Roman" w:hAnsi="Times New Roman" w:cs="Times New Roman"/>
                <w:sz w:val="24"/>
                <w:szCs w:val="24"/>
              </w:rPr>
              <w:t xml:space="preserve">bằng cụm từ </w:t>
            </w:r>
            <w:r>
              <w:rPr>
                <w:rFonts w:ascii="Times New Roman" w:eastAsia="Times New Roman" w:hAnsi="Times New Roman" w:cs="Times New Roman"/>
                <w:i/>
                <w:iCs/>
                <w:sz w:val="24"/>
                <w:szCs w:val="24"/>
              </w:rPr>
              <w:t>“Công báo về giống cây trồng”</w:t>
            </w:r>
            <w:r>
              <w:rPr>
                <w:rFonts w:ascii="Times New Roman" w:eastAsia="Times New Roman" w:hAnsi="Times New Roman" w:cs="Times New Roman"/>
                <w:sz w:val="24"/>
                <w:szCs w:val="24"/>
              </w:rPr>
              <w:t xml:space="preserve"> tại Điều 181.</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Hà Tĩnh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Khi chức năng quản lý nhà nước về quyền đối với giống cây trồng được chuyển giao thống nhất về Bộ Khoa học và Công nghệ. Hiện nay, cơ quan quản lý nhà nước về sở hữu trí tuệ thuộc Bộ Khoa học và Công nghệ đang vận hành hệ thống “Công báo Sở hữu công nghiệp”, do đó việc duy trì thêm một “Công báo về giống cây trồng” độc lập có thể gây phân tán nguồn lực và khó khăn cho tổ chức, cá nhân khi tra cứu tài sản trí tuệ. Đề nghị cơ quan soạn thảo nghiên cứu, xem xét quy định theo hướng tích hợp việc công bố vào “Công báo Sở hữu công nghiệp” hoặc thống nhất tên gọi chung là “Công báo Sở hữu trí tuệ” để phục vụ tốt hơn cho quá trình chuyển đổi số và xây dựng hệ thống cơ sở dữ liệu dùng chung;</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Hiện nay theo quy định tại khoản 1, 2 Điều 123 của Thông tư số 10/2026/TT-BKHCN, </w:t>
            </w:r>
            <w:r>
              <w:rPr>
                <w:rFonts w:ascii="Times New Roman" w:eastAsia="Times New Roman" w:hAnsi="Times New Roman" w:cs="Times New Roman"/>
                <w:i/>
                <w:iCs/>
                <w:sz w:val="24"/>
                <w:szCs w:val="24"/>
              </w:rPr>
              <w:t>“Công báo SHCN là ấn phẩm chính thức do Cục SHTT công bố, nhằm thông tin công khai về việc xác lập, thay đổi, chấm dứt hoặc hủy bỏ hiệu lực các quyền SHCN và các thông tin liên quan khác phải công bố”</w:t>
            </w:r>
            <w:r>
              <w:rPr>
                <w:rFonts w:ascii="Times New Roman" w:eastAsia="Times New Roman" w:hAnsi="Times New Roman" w:cs="Times New Roman"/>
                <w:sz w:val="24"/>
                <w:szCs w:val="24"/>
              </w:rPr>
              <w:t xml:space="preserve"> theo quy định của Luật, Nghị định và Thông tư. Và Công báo được xuất bản dưới hình thức Công báo in hoặc Công báo điện tử.</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Như vậy, sau khi chức năng quản lý nhà nước về giống cây trồng được chuyển về Bộ KH&amp;CN, dự kiến “Công báo về giống cây trồng” là ấn phẩm riêng, độc lập với “Công báo về SHCN” do đây là 02 đối tượng quyền riêng biệt; Công báo về giống cây trồng dự kiến sẽ được xây dựng giống “Công báo SHCN” để đảm bảo sự thống nhất trong cách thức quản lý nhà nước. Đồng thời việc chuyển sang công báo (bao gồm dạng điện tử) được đăng tải trên cổng thông tin điện tử của cơ quan QLNN được đánh giá là dễ dàng tiếp cận, thuận lợi hơn cho người nộp đơn và công chúng so với “tạp chí chuyên ngành về giống cây trồng” theo quy định hiện nay. </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Để bảo đảm quyền tiếp cận thông tin và quyền có ý kiến của bên thứ ba, hệ thống công bố cần đủ minh bạch, dễ tra cứu và có dữ liệu pháp lý đầy đủ.</w:t>
            </w:r>
          </w:p>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tcPr>
          <w:p>
            <w:pPr>
              <w:shd w:val="clear" w:color="auto" w:fill="FFFFFF"/>
              <w:ind w:firstLine="2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Tại dự thảo Luật sửa đổi, bổ sung cụm từ </w:t>
            </w:r>
            <w:r>
              <w:rPr>
                <w:rFonts w:ascii="Times New Roman" w:eastAsia="Times New Roman" w:hAnsi="Times New Roman" w:cs="Times New Roman"/>
                <w:i/>
                <w:iCs/>
                <w:sz w:val="24"/>
                <w:szCs w:val="24"/>
              </w:rPr>
              <w:t>“tạp chí chuyên ngành về giống cây trồng”</w:t>
            </w:r>
            <w:r>
              <w:rPr>
                <w:rFonts w:ascii="Times New Roman" w:eastAsia="Times New Roman" w:hAnsi="Times New Roman" w:cs="Times New Roman"/>
                <w:sz w:val="24"/>
                <w:szCs w:val="24"/>
              </w:rPr>
              <w:t xml:space="preserve"> thành </w:t>
            </w:r>
            <w:r>
              <w:rPr>
                <w:rFonts w:ascii="Times New Roman" w:eastAsia="Times New Roman" w:hAnsi="Times New Roman" w:cs="Times New Roman"/>
                <w:i/>
                <w:iCs/>
                <w:sz w:val="24"/>
                <w:szCs w:val="24"/>
              </w:rPr>
              <w:t>“Công báo về giống cây trồng”</w:t>
            </w:r>
            <w:r>
              <w:rPr>
                <w:rFonts w:ascii="Times New Roman" w:eastAsia="Times New Roman" w:hAnsi="Times New Roman" w:cs="Times New Roman"/>
                <w:sz w:val="24"/>
                <w:szCs w:val="24"/>
              </w:rPr>
              <w:t xml:space="preserve">. Đề nghị cơ quan chủ trì soạn thảo nghiên cứu, giải trình về sự thay đổi này, trong đó xác định tạp chí chuyên ngành về giống cây trồng hiện nay không còn nữa do sắp xếp hay lý do khác. Đồng thời, giải trình về </w:t>
            </w:r>
            <w:r>
              <w:rPr>
                <w:rFonts w:ascii="Times New Roman" w:eastAsia="Times New Roman" w:hAnsi="Times New Roman" w:cs="Times New Roman"/>
                <w:i/>
                <w:iCs/>
                <w:sz w:val="24"/>
                <w:szCs w:val="24"/>
              </w:rPr>
              <w:t>“Công báo về giống cây trồng”</w:t>
            </w:r>
            <w:r>
              <w:rPr>
                <w:rFonts w:ascii="Times New Roman" w:eastAsia="Times New Roman" w:hAnsi="Times New Roman" w:cs="Times New Roman"/>
                <w:sz w:val="24"/>
                <w:szCs w:val="24"/>
              </w:rPr>
              <w:t xml:space="preserve"> là mới hay hiện hành đã có. Trường hợp </w:t>
            </w:r>
            <w:r>
              <w:rPr>
                <w:rFonts w:ascii="Times New Roman" w:eastAsia="Times New Roman" w:hAnsi="Times New Roman" w:cs="Times New Roman"/>
                <w:i/>
                <w:iCs/>
                <w:sz w:val="24"/>
                <w:szCs w:val="24"/>
              </w:rPr>
              <w:t>“công báo”</w:t>
            </w:r>
            <w:r>
              <w:rPr>
                <w:rFonts w:ascii="Times New Roman" w:eastAsia="Times New Roman" w:hAnsi="Times New Roman" w:cs="Times New Roman"/>
                <w:sz w:val="24"/>
                <w:szCs w:val="24"/>
              </w:rPr>
              <w:t xml:space="preserve"> là mới thì đề nghị cân nhắc lý do về việc không sử dụng công báo sở hữu trí tuệ để thực hiện đăng tải các thông tin về giống cây trồng liên quan đến sở hữu trí tuệ mà phải thành lập mới như tại dự thảo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thay cụm từ “tạp chí chuyên ngành về giống cây trồng” bằng “Công báo về giống cây trồng” không xuất phát từ việc tạp chí chuyên ngành không còn tồn tại sau sắp xếp tổ chức bộ máy, mà nhằm thay đổi phương thức công bố theo hướng phù hợp hơn với tính chất pháp lý của thông tin về xác lập và bảo vệ quyền đối với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Thực tiễn thời gian qua, mặc dù các thông tin về bảo hộ giống cây trồng được công bố trên tạp chí chuyên ngành dưới cả hình thức bản giấy và điện tử, khả năng tiếp cận của các tổ chức, cá nhân có liên quan còn hạn chế; thông tin về bảo hộ giống cây trồng chỉ chiếm một phần nhỏ, thường được bố trí ở các trang cuối trong một ấn phẩm có dung lượng lớn và nội dung chủ yếu về chuyên ngành nông nghiệp. Trong khi đó, các thông tin về đơn đăng ký, cấp, sửa đổi, đình chỉ, hủy bỏ hiệu lực Bằng bảo hộ có ý nghĩa pháp lý trực tiếp đối với người đăng ký, chủ Bằng và bên thứ ba, do đó cần có phương thức công bố tập trung, thuận tiện cho việc tra cứu, theo dõi tình trạng pháp lý và tiếp cận thông tin.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“Công báo về giống cây trồng” theo dự thảo là phương thức công bố được xác lập để thay thế việc công bố trên tạp chí chuyên ngành, hướng tới công bố tập trung, thống nhất bao gồm bản giấy và bản điện tử (đăng trên cổng thông tin điện tử của cơ quan quản lý nhà nước về giống cây trồng), phù hợp với yêu cầu chuyển đổi số và quản lý nhà nước về sở hữu trí tuệ. Việc xây dựng “Công báo về giống cây trồng” tương tự như quy định về “Công báo sở hữu công nghiệp” quy định tại Luật SHTT. Sau khi chức năng quản lý nhà nước về giống cây trồng được chuyển sang cho Bộ KH&amp;CN việc xây dựng “công báo về giống cây trồng” bên cạnh “công báo sở hữu công nghiệp” cũng tạo thuận lợi và thống nhất trong cách thức công bố thông tin.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Đối với đề xuất sử dụng chung Công báo sở hữu trí tuệ sẽ không phù hợp do hiện nay theo quy định về công bố liên quan đến quyền tác giả và quyền liên quan, không sử dụng thuật ngữ “công báo” mà sử dụng “Niên giám đăng ký về quyền tác giả, quyền liên quan”.</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Bãi bỏ khoản 1 Điều 148, khoản 2 Điều 150</w:t>
            </w:r>
          </w:p>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không bãi bỏ hoàn toàn khoản 1 mà sửa đổi khoản 1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“Điều 148. Hiệu lực của hợp đồng chuyển giao quyền sở hữu công nghiệp</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1. </w:t>
            </w:r>
            <w:r>
              <w:rPr>
                <w:rFonts w:ascii="Times New Roman" w:eastAsia="Times New Roman" w:hAnsi="Times New Roman" w:cs="Times New Roman"/>
                <w:b/>
                <w:bCs/>
                <w:i/>
                <w:iCs/>
                <w:sz w:val="24"/>
                <w:szCs w:val="24"/>
                <w:u w:val="single"/>
              </w:rPr>
              <w:t>Hợp đồng chuyển nhượng quyền sở hữu công nghiệp có hiệu lực theo thỏa thuận của các bên; trường hợp các bên không có thỏa thuận thì hiệu lực của hợp đồng được xác định theo quy định của Bộ luật Dân sự. Việc chuyển dịch quyền sở hữu công nghiệp theo hợp đồng chuyển nhượng có hiệu lực theo quy định tại khoản 3 Điều 138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Đồng thời, đề nghị giữ nguyên tên Mục 4 và tên Điều 148 như Luật hiện hành, hoặc sửa tên Điều 148 thành </w:t>
            </w:r>
            <w:r>
              <w:rPr>
                <w:rFonts w:ascii="Times New Roman" w:eastAsia="Times New Roman" w:hAnsi="Times New Roman" w:cs="Times New Roman"/>
                <w:b/>
                <w:bCs/>
                <w:i/>
                <w:iCs/>
                <w:sz w:val="24"/>
                <w:szCs w:val="24"/>
                <w:u w:val="single"/>
              </w:rPr>
              <w:t>“Hiệu lực của hợp đồng chuyển giao quyền sở hữu công nghiệp”</w:t>
            </w:r>
            <w:r>
              <w:rPr>
                <w:rFonts w:ascii="Times New Roman" w:eastAsia="Times New Roman" w:hAnsi="Times New Roman" w:cs="Times New Roman"/>
                <w:sz w:val="24"/>
                <w:szCs w:val="24"/>
              </w:rPr>
              <w:t xml:space="preserve"> (bao gồm cả hợp đồng chuyển nhượng và hợp đồng sử dụng).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Dự thảo bãi bỏ toàn bộ khoản 1 Điều 148 (do đã cắt giảm thủ tục đăng ký hợp đồng chuyển nhượng) là phù hợp về mặt thủ tục hành chính. Tuy nhiên, hệ quả là Luật sẽ không còn bất kỳ quy định nào về hiệu lực của hợp đồng chuyển nhượng quyền sở hữu công nghiệp, trong khi Điều 148 vẫn giữ khoản 2 quy định rõ hợp đồng sử dụng đối tượng sở hữu công nghiệp “có hiệu lực theo thỏa thuận giữa các bên”.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Khi khoản 3 Điều 138 (mới) lại quy định </w:t>
            </w:r>
            <w:r>
              <w:rPr>
                <w:rFonts w:ascii="Times New Roman" w:eastAsia="Times New Roman" w:hAnsi="Times New Roman" w:cs="Times New Roman"/>
                <w:b/>
                <w:bCs/>
                <w:i/>
                <w:iCs/>
                <w:sz w:val="24"/>
                <w:szCs w:val="24"/>
                <w:u w:val="single"/>
              </w:rPr>
              <w:t>“việc chuyển nhượng có hiệu lực kể từ thời điểm được ghi nhận”</w:t>
            </w:r>
            <w:r>
              <w:rPr>
                <w:rFonts w:ascii="Times New Roman" w:eastAsia="Times New Roman" w:hAnsi="Times New Roman" w:cs="Times New Roman"/>
                <w:sz w:val="24"/>
                <w:szCs w:val="24"/>
              </w:rPr>
              <w:t>, thì các bên trong hợp đồng, cơ quan thuế, các cơ quan thực thi có thể tiếp tục hiểu và vận dụng rằng ngày ghi nhận tại cơ quan quản lý nhà nước mới là ngày hợp đồng chuyển nhượng phát sinh hiệu lực – tức là duy trì đúng cách hiểu bất cập của khoản 1 Điều 148 hiện hành mà Dự thảo đang muốn khắc phục.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Vì vậy, đề nghị bổ sung một câu minh thị ngay trong Luật, theo hướng: hợp đồng chuyển nhượng có hiệu lực theo thỏa thuận của các bên (nếu không có thỏa thuận thì theo Bộ luật Dân sự), còn việc chuyển dịch quyền sở hữu mới là nội dung phát sinh hiệu lực theo thời điểm ghi nhận tại khoản 3 Điều 138. Cách quy định này bảo đảm nhất quán với khoản 2 Điều 148 (đối với hợp đồng sử dụng) và loại trừ dứt điểm rủi</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một phần và bổ sung hiệu lực hợp đồng chuyển nhượng quyền SHCN tại khoản 2 Điều 138. Theo đó, Điều 148 chỉ quy định về hiệu lực của hợp đồng sử dụng đối tượng SHCN.</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tình bãi bỏ khoản 2 Điều 150 nếu toàn bộ thủ tục chuyển nhượng được hợp nhất vào ghi nhận thay đổi chủ sở hữu.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Tuy nhiên phải có điều khoản chuyển tiếp để hồ sơ đăng ký hợp đồng đã nộp không phải nộp lại và không mất phí/lệ phí đã nộp.</w:t>
            </w:r>
          </w:p>
        </w:tc>
        <w:tc>
          <w:tcPr>
            <w:tcW w:w="4253" w:type="dxa"/>
            <w:vMerge w:val="restart"/>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sửa đổi, bổ sung quy định tại khoản 2 Điều 138 về hiệu lực hợp đồng chuyển nhượng quyền SHCN và bổ sung điều khoản chuyển tiếp tại dự thảo Luật.</w:t>
            </w:r>
          </w:p>
          <w:p>
            <w:pPr>
              <w:shd w:val="clear" w:color="auto" w:fill="FFFFFF"/>
              <w:spacing w:before="40" w:after="4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đối với nội dung “bãi bỏ khoản 1 Điều 148”:</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Bãi bỏ điều kiện đăng ký để hợp đồng chuyển nhượng có hiệu lực là thay đổi căn bản, nhưng Dự thảo chưa xử lý đầy đủ hợp đồng đã ký trước ngày Luật mới có hiệu lực.</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Bổ sung điều khoản chuyển tiếp: </w:t>
            </w:r>
            <w:r>
              <w:rPr>
                <w:rFonts w:ascii="Times New Roman" w:eastAsia="Times New Roman" w:hAnsi="Times New Roman" w:cs="Times New Roman"/>
                <w:b/>
                <w:bCs/>
                <w:i/>
                <w:iCs/>
                <w:sz w:val="24"/>
                <w:szCs w:val="24"/>
                <w:u w:val="single"/>
              </w:rPr>
              <w:t>“Hợp đồng chuyển nhượng quyền sở hữu công nghiệp được giao kết trước ngày Luật này có hiệu lực được xác định về hiệu lực theo pháp luật tại thời điểm giao kết; việc ghi nhận thay đổi chủ văn bằng sau ngày Luật này có hiệu lực được thực hiện theo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pháp luật hiện hành, khoản 1 Điều 148 quy định hợp đồng chuyển nhượng đối với quyền xác lập trên cơ sở đăng ký chỉ có hiệu lực khi đã được đăng ký. Khi bỏ quy định này phải có quy tắc chuyển tiếp, nếu không sẽ phát sinh vấn đề đối với giao dịch đang tồn tại.</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Ý kiến góp ý đối với nội dung “bãi bỏ khoản 2 Điều 150”</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Chưa xử lý hồ sơ đăng ký hợp đồng chuyển nhượng đã được tiếp nhận trước ngày Luật mới có hiệu lực nhưng chưa giải quyết.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Bổ sung: </w:t>
            </w:r>
            <w:r>
              <w:rPr>
                <w:rFonts w:ascii="Times New Roman" w:eastAsia="Times New Roman" w:hAnsi="Times New Roman" w:cs="Times New Roman"/>
                <w:b/>
                <w:bCs/>
                <w:i/>
                <w:iCs/>
                <w:sz w:val="24"/>
                <w:szCs w:val="24"/>
                <w:u w:val="single"/>
              </w:rPr>
              <w:t>“Đối với hồ sơ đăng ký hợp đồng chuyển nhượng đã được tiếp nhận trước ngày Luật này có hiệu lực nhưng chưa được giải quyết, cơ quan quản lý nhà nước về quyền sở hữu công nghiệp chuyển sang thực hiện thủ tục ghi nhận thay đổi chủ văn bằng theo Luật này trên cơ sở hồ sơ đã nộp; người nộp không phải nộp lại hồ sơ, trừ trường hợp cần bổ sung tài liệu để đáp ứng điều kiện theo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150 hiện hành vẫn quy định Bộ trưởng Bộ KH&amp;CN quy định hồ sơ, trình tự, thủ tục tiếp nhận và xử lý hồ sơ đăng ký hợp đồng chuyển nhượng. Khi Dự thảo bãi bỏ khoản này, cần xử lý hồ sơ đang tồn tại, tránh trả hồ sơ hoặc buộc người dân/doanh nghiệp thực hiện lại.</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Hội Sở hữu trí tuệ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không bãi bỏ toàn bộ khoản 1 Điều 148 mà sửa lại theo hướng: hợp đồng chuyển nhượng quyền sở hữu công nghiệp có hiệu lực theo thỏa thuận của các bên; trường hợp các bên không có thỏa thuận thì hiệu lực được xác định theo quy định của Bộ luật Dân sự; còn việc chuyển dịch quyền sở hữu được thực hiện theo khoản 3 Điều 138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là nếu bãi bỏ hoàn toàn khoản 1 Điều 148 thì Luật sẽ không còn quy định nào về hiệu lực của hợp đồng chuyển nhượng, trong khi khoản 2 Điều 148 vẫn giữ quy định tương đương đối với hợp đồng sử dụng đối tượng sở hữu công nghiệp, dẫn đến sự thiếu nhất quán và có thể làm sống lại cách hiểu nhầm nêu tại mục 1. VIPA cũng đề nghị giữ tên Mục 4 và tên Điều 148 như Luật hiện hành, hoặc đổi tên Điều 148 thành “Hiệu lực của hợp đồng chuyển giao quyền sở hữu công nghiệp” để bao trùm cả hợp đồng chuyển nhượng và hợp đồng sử dụng.</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Hội Sở hữu trí tuệ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Nhất trí bãi bỏ khoản 2 Điều 150 và đề nghị bổ sung quy định chuyển tiếp tương ứng</w:t>
            </w:r>
          </w:p>
        </w:tc>
        <w:tc>
          <w:tcPr>
            <w:tcW w:w="4253" w:type="dxa"/>
            <w:vMerge/>
          </w:tcPr>
          <w:p>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2. Điều khoản thi hành</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này có hiệu lực thi hành từ ngày 01 tháng 3 năm 2027.</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III. Nội dung khá quan đến dự thảo Luật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Nội vụ</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để làm rõ hơn việc bảo đảm thực hiện nghiêm Nghị quyết số 18-NQ/TW, ngày 25/10/2017 về Một số vấn đề về tiếp tục đổi mới, sắp xếp tổ chức bộ máy của hệ thống chính trị tinh gọn, hoạt động hiệu lực, hiệu quả và Nghị quyết số 19-NQ/TW, ngày 25/10/2017 về tiếp tục đổi mới hệ thống tổ chức và quản lý, nâng cao chất lượng và hiệu quả hoạt động của các đơn vị sự nghiệp công nghiệp của Ban chấp hành Trung ương Đảng khóa XII; Quy định số 178-QĐ/TW ngày 27/6/2024 của Bộ Chính trị về kiểm soát quyền lực, phòng, chống tham nhũng, tiêu cực trong công tác xây dựng pháp luật, bảo đảm tính thống nhất, đồng bộ trong hệ thống văn bản quy phạm pháp luật hiện hành; chỉ đạo của Bộ Chính trị tại Kết luận số 119-KL/TW ngày 20/01/2025 về định hướng đổi mới, hoàn thiện quy trình xây dựng pháp luật và bảo đảm tính thống nhất, đồng bộ với hệ thống pháp luật hiện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soạn thảo xin tiếp thu.</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Căn cứ ban hành</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Lạng Sơn, Sở KHCN Cao Bằng, Sở KHCN Gia Lai</w:t>
            </w:r>
          </w:p>
        </w:tc>
        <w:tc>
          <w:tcPr>
            <w:tcW w:w="5954" w:type="dxa"/>
          </w:tcPr>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sz w:val="24"/>
                <w:szCs w:val="24"/>
              </w:rPr>
              <w:t xml:space="preserve">Đề nghị chỉnh sửa nội dung </w:t>
            </w:r>
            <w:r>
              <w:rPr>
                <w:rFonts w:ascii="Times New Roman" w:eastAsia="Times New Roman" w:hAnsi="Times New Roman" w:cs="Times New Roman"/>
                <w:b/>
                <w:bCs/>
                <w:i/>
                <w:iCs/>
                <w:sz w:val="24"/>
                <w:szCs w:val="24"/>
                <w:u w:val="single"/>
              </w:rPr>
              <w:t xml:space="preserve">“Căn cứ Hiến pháp nước Cộng hòa xã hội chủ nghĩa Việt Nam;” </w:t>
            </w:r>
            <w:r>
              <w:rPr>
                <w:rFonts w:ascii="Times New Roman" w:eastAsia="Times New Roman" w:hAnsi="Times New Roman" w:cs="Times New Roman"/>
                <w:sz w:val="24"/>
                <w:szCs w:val="24"/>
              </w:rPr>
              <w:t xml:space="preserve">thành </w:t>
            </w:r>
            <w:r>
              <w:rPr>
                <w:rFonts w:ascii="Times New Roman" w:eastAsia="Times New Roman" w:hAnsi="Times New Roman" w:cs="Times New Roman"/>
                <w:b/>
                <w:bCs/>
                <w:i/>
                <w:iCs/>
                <w:sz w:val="24"/>
                <w:szCs w:val="24"/>
                <w:u w:val="single"/>
              </w:rPr>
              <w:t>“Căn cứ Hiến pháp nước Cộng hòa xã hội chủ nghĩa Việt Nam đã được sửa đổi, bổ sung một số điều theo Nghị quyết số 203/2025/QH15;”</w:t>
            </w:r>
            <w:r>
              <w:rPr>
                <w:rFonts w:ascii="Times New Roman" w:eastAsia="Times New Roman" w:hAnsi="Times New Roman" w:cs="Times New Roman"/>
                <w:sz w:val="24"/>
                <w:szCs w:val="24"/>
              </w:rPr>
              <w:t xml:space="preserve"> cho chính xác và phù hợp theo Mẫu số 03 tại Phụ lục II ban hành kèm theo Nghị định số 187/2025/NĐ-CP.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Tiêu chí, điều kiện, tiêu chuẩn của tổ chức và cá nhân là giám định viên</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Tài chính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Bộ Khoa học và Công nghệ đối chiếu các quy định hiện hành và lĩnh vực chuyên môn do Bộ Khoa học và Công nghệ chủ trì hoàn thiện dự thảo để đảm bảo chất lượng công tác giám định về sở hữu trí tuệ, giải quyết được yêu cầu của các chủ sở hữu quyền và các cơ quan chuyên môn trong quá trình xử lý vụ việc tranh chấp.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w:t>
            </w:r>
            <w:r>
              <w:rPr>
                <w:rFonts w:eastAsia="Times New Roman"/>
                <w:sz w:val="24"/>
                <w:szCs w:val="24"/>
              </w:rPr>
              <w:t xml:space="preserve"> một phần</w:t>
            </w:r>
            <w:r>
              <w:rPr>
                <w:rFonts w:ascii="Times New Roman" w:eastAsia="Times New Roman" w:hAnsi="Times New Roman" w:cs="Times New Roman"/>
                <w:sz w:val="24"/>
                <w:szCs w:val="24"/>
              </w:rPr>
              <w:t xml:space="preserve">. Các phương án đã được sửa đổi theo hướng hợp nhất, đơn giản, chỉ quy định những vấn đề chung trên Luật, thể hiện đúng tinh thần cắt giảm điều kiện kinh doanh đối với dịch vụ giám định nhằm mở rộng khả năng tiếp cận thị trường của các tổ chức, cá nhân có nhu cầu thực hiện hoạt động giám định. Về hình thức quản lý, cơ quan chủ trì soạn thảo cũng đã bổ sung thêm nghĩa vụ thông báo với cơ quan nhà nước có thẩm quyền của các tổ chức, cá nhân hoạt động giám định và sửa đổi khoản 6 về việc giao Chính phủ quy định chi tiết về tổ chức, cá nhân giám định, nguyên tắc thực hiện giám định và hoạt động giám định, từ đó sẽ tiếp tục rà soát, sửa đổi, bổ sung các quy định chi tiết này trong quá trình sửa đổi Nghị định sau khi Luật SHTT được thông qua để đề xuất biện pháp quản lý hoạt động giám định phù hợp với thực tiễn thi hành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Bổ sung điều khoản chuyển tiếp</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điều khoản chuyển tiếp, cân nhắc theo hướng: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Đối với hợp đồng chuyển nhượng quyền sở hữu công nghiệp được ký kết trước ngày Luật này có hiệu lực nhưng chưa được đăng ký, hiệu lực của hợp đồng được xác định theo quy định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Đối với hồ sơ đăng ký hợp đồng chuyển nhượng quyền sở hữu công nghiệp đã nộp trước ngày Luật này có hiệu lực mà chưa được xử lý xong, cơ quan quản lý nhà nước về quyền sở hữu công nghiệp chuyển sang xử lý theo thủ tục sửa đổi văn bằng bảo hộ, người nộp hồ sơ không phải nộp lại hồ sơ và không phải nộp thêm phí, lệ phí.</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Đối với vụ việc, vụ án về sở hữu trí tuệ đã được thụ lý trước ngày Luật này có hiệu lực mà chưa được giải quyết xong thì tiếp tục áp dụng quy định của pháp luật tại thời điểm thụ lý, trừ trường hợp quy định của Luật này có lợi hơn cho chủ thể quyền.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chuyển đổi cơ chế xác lập hiệu lực chuyển nhượng (từ đăng ký hợp đồng sang ghi nhận sửa đổi văn bằng bảo hộ) sẽ ảnh hưởng trực tiếp đến các hợp đồng đang có hiệu lực và các hồ sơ đang xử lý.</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không có điều khoản chuyển tiếp rõ ràng, sẽ phát sinh tranh chấp về thời điểm phát sinh hiệu lực của các hợp đồng đã ký trước ngày Luật có hiệu lực – đặc biệt đối với các giao dịch có giá trị lớn hoặc gắn với việc góp vốn, mua bán doanh nghiệp.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cần bổ sung điều khoản chuyển tiếp, không chỉ quy định ngày hiệu lực.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cùng lúc thay đổi cơ chế chuyển nhượng SHCN, chế độ giám định và cơ quan quản lý quyền đối với giống cây trồng; nếu thiếu chuyển tiếp có thể gây gián đoạn ngay khi Luật có hiệu lực.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Cần Thơ</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Bổ sung </w:t>
            </w:r>
            <w:r>
              <w:rPr>
                <w:rFonts w:ascii="Times New Roman" w:eastAsia="Times New Roman" w:hAnsi="Times New Roman" w:cs="Times New Roman"/>
                <w:b/>
                <w:bCs/>
                <w:i/>
                <w:iCs/>
                <w:sz w:val="24"/>
                <w:szCs w:val="24"/>
              </w:rPr>
              <w:t xml:space="preserve">“Điều khoản chuyển tiếp” </w:t>
            </w:r>
            <w:r>
              <w:rPr>
                <w:rFonts w:ascii="Times New Roman" w:eastAsia="Times New Roman" w:hAnsi="Times New Roman" w:cs="Times New Roman"/>
                <w:sz w:val="24"/>
                <w:szCs w:val="24"/>
              </w:rPr>
              <w:t>đối với các trường hợp đang trong quá trình thụ lý, giải quyết trước ngày Luật sửa đổi, bổ sung một số điều của Luật SHTT có hiệu lực thi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Phan Law Vietnam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2 dự thảo hiện chỉ quy định ngày hiệu lực. Trong khi đó, dự thảo thay đổi cơ quan quản lý (giống cây trồng), thay đổi cơ chế hiệu lực của một loại giao dịch đang diễn ra hằng ngày (chuyển nhượng quyền sở hữu công nghiệp) và thay đổi chế độ hành nghề (giám định viên). Thiếu quy định chuyển tiếp, cả ba nhóm quan hệ này sẽ phát sinh khoảng trống áp dụng ngay ngày đầu tiên Luật có hiệu lực. Đề xuất cụ thể tại Phần II, Vấn đề 4.</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Thanh Hoá</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quy định Luật có hiệu lực thi hành từ ngày 01 tháng 3 năm 2027. Đề nghị bổ sung quy định chuyển tiếp đối với các hồ sơ, thủ tục và giao dịch đang được giải quyết tại thời điểm Luật có hiệu lực như các trường hợp: Đơn đăng ký quyền sở hữu trí tuệ đã nộp nhưng chưa được giải quyết; Hồ sơ sửa đổi, chuyển nhượng quyền sở hữu công nghiệp đang được xử lý; Hợp đồng chuyển quyền sử dụng đối tượng sở hữu công nghiệp đã ký nhưng chưa hoàn tất thủ tục theo quy định hiện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Bắc Ninh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nghiên cứu, bổ sung quy định chuyển tiếp đối với: đơn đăng ký, yêu cầu sửa đổi văn bằng, hợp đồng chuyển nhượng, hồ sơ bảo hộ giống cây trồng và vụ việc giám định đã tiếp nhận trước ngày Luật có hiệu lực; chứng chỉ, thẻ giám định viên và tổ chức giám định đã được công nhận; dữ liệu, phí và lệ phí đã nộp. Việc chỉ quy định ngày hiệu lực tại Điều 2 chưa đủ cơ sở xử lý các hồ sơ đang thực hiện khi thay đổi đầu mối và thủ tục.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xã hội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có nhiều thay đổi nhưng nếu chỉ quy định ngày có hiệu lực sẽ không đủ để xử lý các quan hệ pháp lý đang tồn tại.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Bổ sung một điều/khoản chuyển tiếp riêng, tập trung vào (i) hợp đồng chuyển nhượng chưa đăng ký; (ii) hồ sơ đăng ký chuyển nhượng đang xử lý; (iii) đơn giống cây trồng đang thẩm định; (iv) văn bằng đang đình chỉ/phục hồi; (v) tổ chức, cá nhân đang thực hiện giám định theo pháp luật cũ.</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Quy định chuyển tiếp phải xác định rõ pháp luật áp dụng – cách thức cơ quan nhà nước xử lý – quyền và nghĩa vụ của chủ thể. Đồng thời cần tránh lặp lại những vấn đề chuyển tiếp mà Luật 131/2025/QH15 đã giải quyết.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Hà Tĩnh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Cơ quan soạn thảo rà soát kỹ và làm rõ hơn quy định chuyển tiếp.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Luật dự kiến có hiệu lực từ ngày 01/3/2027. Việc chuyển giao toàn bộ chức năng, cơ sở dữ liệu và đặc biệt là các hồ sơ đăng ký giống cây trồng đang trong quá trình thẩm định từ Bộ Nông nghiệp và Môi trường sang Bộ Khoa học và Công nghệ có thể mất nhiều thời gian. Cần quy định rõ nguyên tắc tiếp tục xử lý các đơn này trong dự thảo Luật để làm cơ sở cho Chính phủ hướng dẫn chi tiết, tránh làm gián đoạn quyền lợi của tổ chức, cá nhân đăng ký.</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chuyển giao chức năng quản lý cần được thiết kế thận trọng để không làm gián đoạn xử lý đơn, khảo nghiệm kỹ thuật, quản lý dữ liệu giống, hệ thống công bố và hoạt động đại diện quyền đối với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bổ sung điều khoản chuyển tiếp cụ thể, bao gồm: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Hồ sơ đã nộp trước ngày Luật có hiệu lực tiếp tục được xử lý mà không phải nộp lại;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 Các kết quả khảo nghiệm DUS, thông báo, quyết định, dữ liệu và giấy tờ do cơ quan cũ ban hành tiếp tục có giá trị pháp lý;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Bên cạnh việc sửa đổi các quy định trong Luật, chúng tôi cũng mong muốn Bộ KH&amp;CN chủ trì kế hoạch chuyển giao hồ sơ, dữ liệu, nhân sự chuyên môn, cơ sở dữ liệu và hệ thống công bố trong thời hạn cụ thể; và duy trì cơ chế phối hợp kỹ thuật với Bộ Nông nghiệp và Môi trường đối với khảo nghiệm, lưu giữ mẫu giống, quản lý vật liệu nhân giống và đánh giá đặc tính nông học.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hiện chưa có quy định chuyển tiếp chi tiết đối với các thủ tục đang xử lý tại thời điểm Luật có hiệu lực, đặc biệt là thủ tục chuyển nhượng quyền sở hữu công nghiệp, sửa đổi văn bằng bảo hộ, giám định SHTT và hồ sơ giống cây trồng. Việc thiếu quy định chuyển tiếp có thể dẫn đến cách áp dụng không thống nhất trong giai đoạn chuyển đổi.</w:t>
            </w:r>
          </w:p>
          <w:p>
            <w:pPr>
              <w:shd w:val="clear" w:color="auto" w:fill="FFFFFF"/>
              <w:spacing w:before="40" w:after="40" w:line="240" w:lineRule="auto"/>
              <w:jc w:val="both"/>
              <w:rPr>
                <w:rFonts w:ascii="Times New Roman" w:eastAsia="Times New Roman" w:hAnsi="Times New Roman" w:cs="Times New Roman"/>
                <w:sz w:val="24"/>
                <w:szCs w:val="24"/>
              </w:rPr>
            </w:pP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điều khoản chuyển tiếp riêng, trong đó làm rõ: (i) hồ sơ đã nộp trước ngày Luật có hiệu lực được tiếp tục xử lý theo quy định nào; (ii) các yêu cầu đăng ký hợp đồng chuyển nhượng đã nộp trước ngày Luật có hiệu lực được xử lý ra sao; (iii) kết luận giám định, thẻ giám định viên, tổ chức giám định đã được cấp/ghi nhận trước đây có tiếp tục được sử dụng hay không; và (iv) thủ tục đang xử lý trong lĩnh vực giống cây trồng được chuyển giao giữa các cơ quan như thế nào.</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bổ sung điều khoản chuyển tiếp.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Hội Sở hữu trí tuệ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hiện chỉ quy định ngày có hiệu lực (01/3/2027) trong khi cùng lúc thay đổi cơ chế chuyển nhượng quyền sở hữu công nghiệp, hoạt động giám định và cơ quan quản lý quyền đối với giống cây trồng. Để tránh gián đoạn hành chính và tranh chấp về thời điểm phát sinh hiệu lực, VIPA đề nghị bổ sung điều khoản chuyển tiếp, theo hướng: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Hợp đồng chuyển nhượng quyền sở hữu công nghiệp được ký kết trước ngày Luật này có hiệu lực nhưng chưa được đăng ký thì hiệu lực của hợp đồng được xác định theo quy định của Luật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Hồ sơ đăng ký hợp đồng chuyển nhượng đã nộp trước ngày Luật này có hiệu lực mà chưa được xử lý xong thì được chuyển sang xử lý theo thủ tục sửa đổi văn bằng bảo hộ, ghi nhận thay đổi chủ sở hữu; người nộp hồ sơ không phải nộp lại tài liệu hợp lệ và các khoản phí, lệ phí đã nộp.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Hoạt động, hồ sơ và kết luận giám định được thực hiện trước ngày Luật này có hiệu lực tiếp tục được xem xét theo pháp luật tại thời điểm thực hiện; giấy tờ về chuyên môn, kinh nghiệm đã được cấp có thể được sử dụng làm tài liệu chứng minh năng lực theo quy định mới.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Đơn và thủ tục về quyền đối với giống cây trồng đang được giải quyết được chuyển giao cho cơ quan có thẩm quyền mới mà không làm thay đổi ngày nộp đơn, quyền ưu tiên, kết quả khảo nghiệm, tài liệu, mẫu vật và các khoản phí, lệ phí đã nộp.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Vụ việc, vụ án về sở hữu trí tuệ đã được thụ lý trước ngày Luật này có hiệu lực mà chưa giải quyết xong thì tiếp tục áp dụng quy định của pháp luật tại thời điểm thụ lý, trừ trường hợp quy định của Luật này có lợi hơn cho chủ thể quyền.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và Công nghệ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điều khoản chuyển tiếp cụ thể, đầy đủ và có tính khả thi trong trường hợp chuyển trách nhiệm quản lý nhà nước về quyền đối với giống cây trồng từ Bộ Nông nghiệp và Môi trường sang Bộ Khoa học và Công nghệ.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chuyển giao cần được quy định rõ đối với toàn bộ các hồ sơ, vụ việc và quyền, nghĩa vụ đang tồn tại, bao gồm: Hồ sơ đăng ký đang được tiếp nhận, xử lý; đơn đăng ký đang trong quá trình thẩm định hình thức, thẩm định nội dung hoặc khảo nghiệm kỹ thuật; văn bằng bảo hộ giống cây trồng đã được cấp và đang còn hiệu lực; các hồ sơ đề nghị sửa đổi, gia hạn, đình chỉ, hủy bỏ hoặc phục hồi hiệu lực Bằng bảo hộ; đơn khiếu nại, tố cáo đang được giải quyết; các vụ việc tranh chấp, xử lý xâm phạm quyền đang được cơ quan có thẩm quyền thụ lý; cơ sở dữ liệu về quyền đối với giống cây trồng; hồ sơ, tài liệu bản giấy và hồ sơ điện tử; phí, lệ phí mà tổ chức, cá nhân đã nộp trước thời điểm chuyển giao; quyền và nghĩa vụ của cán bộ, công chức, viên chức và người lao động đang trực tiếp thực hiện nhiệm vụ; các hợp đồng, thỏa thuận, chương trình, nhiệm vụ và hoạt động chuyên môn đang được triển khai liên quan đến quyền đối với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Đặc biệt, cần quy định rõ cơ quan nào tiếp tục giải quyết, thời điểm chuyển giao trách nhiệm giải quyết, giá trị pháp lý của các hồ sơ, kết quả thẩm định, quyết định và văn bản đã được cơ quan có thẩm quyền ban hành trước thời điểm chuyển giao, cũng như nguyên tắc xử lý đối với các trường hợp đang trong thời hạn thực hiện quyền hoặc nghĩa vụ.</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quy định chuyển tiếp cần bảo đảm không làm phát sinh thủ tục mới, không yêu cầu tổ chức, cá nhân phải nộp lại hồ sơ, nộp lại phí, lệ phí hoặc thực hiện lại các công đoạn đã hoàn thành hợp pháp trước thời điểm chuyển giao, trừ trường hợp pháp luật có quy định khác.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Đặc biệt, việc chuyển giao trách nhiệm quản lý nhà nước về quyền đối với giống cây trồng không chỉ là vấn đề tổ chức, phân công nhiệm vụ giữa Bộ Nông nghiệp và Môi trường và Bộ Khoa học và Công nghệ, mà còn tác động trực tiếp đến quyền và lợi ích hợp pháp của người đăng ký, tác giả, chủ Bằng bảo hộ, tổ chức, cá nhân đang có hồ sơ hoặc vụ việc được giải quyết. Vì vậy, đề nghị quy định đầy đủ cơ chế chuyển tiếp ngay trong Luật hoặc giao Chính phủ quy định chi tiết nhưng phải bảo đảm nguyên tắ tục, không gián đoạn, không làm giảm hoặc thay đổi bất lợi quyền và nghĩa vụ hợp pháp đã phát sinh của tổ chức, cá nhân.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này càng cần thiết bởi hồ sơ dự án hiện cũng xác định việc chuyển giao sẽ liên quan đến nhiệm vụ, nhân lực, cơ sở dữ liệu và quy trình nghiệp vụ, đồng thời đặt yêu cầu bảo đảm không làm gián đoạn việc tiếp nhận, xử lý đơn đăng ký và cấp Bằng bảo hộ giống cây trồng.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nghiên cứu, bổ sung quy định về điều khoản chuyển tiếp tại dự thảo Luật để bảo đảm không có khoảng trống pháp lý sau khi dự thảo Luật được thông qua.</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Đại học Quốc gia TP HCM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tại Điều 2 Dự thảo Luật quy định chuyển tiếp theo hướng các đơn đăng ký, hồ sơ, yêu cầu và thủ tục đã được cơ quan có thẩm quyền tiếp nhận trước ngày Luật có hiệu lực tiếp tục được giải quyết mà tổ chức, cá nhân không phải nộp lại hồ sơ; ngày nộp đơn, ngày ưu tiên và các quyền, lợi ích hợp pháp đã phát sinh được bảo lưu.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Việc chuyển giao chức năng quản lý nhà nước về quyền đối với giống cây trồng dẫn đến việc chuyển giao hồ sơ, dữ liệu, hoạt động thẩm định và các thủ tục liên quan đến Bằng bảo hộ giống cây trồng và hoạt động đại diện quyền đối với giống cây trồng. Do đó, quy định chuyển tiếp là cần thiết để bảo đảm tính liên tục của hoạt động quản lý nhà nước, tránh phát sinh khoảng trống thẩm quyền hoặc yêu cầu tổ chức, cá nhân thực hiện lại thủ tục đã được tiến hành hợp pháp trước đó.</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An Giang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thảo bổ sung “Điều khoản chuyển tiếp” đối với các trường hợp đang trong quá trình thụ lý, giải quyết trước ngày Luật sửa đổi, bổ sung một số điều của Luật SHTT có hiệu lực thi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hiện chỉ quy định Luật có hiệu lực từ ngày 01/3/2027 nhưng chưa có quy định xử lý việc chuyển chức năng quản lý nhà nước về quyền đối với giống cây trồng giữa hai Bộ. Đề nghị quy định nguyên tắc bảo lưu giá trị pháp lý của đơn, ngày nộp đơn, ngày ưu tiên, kết quả thẩm định, kết quả khảo nghiệm DUS, Bằng bảo hộ, chứng chỉ và các quyết định đã ban hành, hồ sơ đang giải quyết được chuyển sang cơ quan có thẩm quyền mới để tiếp tục xử lý và tổ chức, cá nhân không phải nộp lại hồ sơ, phí, lệ phí chỉ do thay đổi cơ quan quản lý.</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NNMT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quy định Luật sửa đổi, bổ sung có hiệu lực thi hành từ ngày 01/3/2027 nhưng chưa quy định về nội dung chuyển tiếp đối với việc thay đổi đầu mối quản lý nhà nước về quyền đối với giống cây trồng. Đề nghị đơn vị soạn thảo bổ sung quy định chuyển tiếp, làm rõ việc xử lý hồ sơ, dữ liệu và các nhiệm vụ đang thực hiện, đồng thời xác định trách nhiệm của các cơ quan trong quá trình chuyển giao, bảo đảm hoạt động quản lý, bảo hộ quyền đối với giống cây trồng được liên tục, thống nhất.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bookmarkStart w:id="2" w:name="_GoBack"/>
            <w:bookmarkEnd w:id="2"/>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Hướng dẫn thi hành</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Bross &amp; Partners</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03 nhóm chuyển tiếp: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Hồ sơ đăng ký hợp đồng chuyển nhượng đã nộp trước ngày Luật có hiệu lực nhưng chưa xong được chuyển sang thủ tục ghi nhận thay đổi chủ sở hữu; không phải nộp lại tài liệu hợp lệ và phí/lệ phí đã nộp.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Hoạt động/hồ sơ/KLGĐ đã thực hiện trước ngày Luật có hiệu lực tiếp tục được xem xét theo pháp luật tại thời điểm thực hiện; giấy tờ chuyên môn cũ được dùng làm tài liệu chứng minh năng lực theo cơ chế mới.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Đơn/thủ tục quyền đối với giống cây trồng đang xử lý được chuyển sang cơ quan mới mà không làm thay đổi ngày nộp, quyền ưu tiên, kết quả khảo nghiệm, mẫu vật, tài liệu, phí/lệ phí và quyền thủ tục đã phát sinh hợp pháp.</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bổ sung điều khoản chuyển tiếp tại dự thảo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Rà soát lỗi kỹ thuật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tiếp tục rà soát, hoàn thiện kỹ thuật trình bày Bản so sánh, thuyết minh, trong đó còn một số lỗi chính tả hoặc nội dung cũ, mới chưa được xử lý hoàn chỉnh như: “văn bẳng” (trang 3, 5), “chuyển nhương” (trang 5), “basáu mươi ngày” (trang 14), “nghiệmbiện pháp”, “thực hiệntheo” (trang 19), “21a.”, “21.” (trang 25), “3.4.” (trang 27), “45.” (trang 28), “Kkết luận”, “dáp ứng” (trang 29), “bố sung”, “56.”, “6. 7.” (trang 30) và các lỗi tương tự.</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tài liệu hồ sơ dự án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Cần Thơ</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Cục SHTT sớm tham mưu Chính phủ ban hành các văn bản quy định chi tiết, hướng dẫn thi hành Luật sửa đổi, bổ sung một số điều của Luật SHTT để bảo đảm tính kịp thời và đồng bộ khi Luật có hiệu lực thi hành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Nông nghiệp và Môi trường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tiếp tục rà soát, chỉnh lý về ngôn ngữ, kỹ thuật soạn thảo văn bản theo quy định của pháp luật về ban hành văn bản quy phạm pháp luật và theo Mẫu số 03 Phụ lục II Nghị định số 187/2025/NĐ-CP ngày 01/7/2025 của Chính phủ sửa đổi, bổ sung một số điều của Nghị định số 78/2025/NĐ-CP ngày 01/4/2025 của Chính phủ quy định chi tiết một số điều và biện pháp để tổ chức, hướng dẫn thi hành Luật Ban hành văn bản quy phạm pháp luật và Nghị định số 79/2025/NĐ-CP ngày 01/4/2025 của Chính phủ về kiểm tra, rà soát, hệ thống hóa và xử lý văn bản quy phạm pháp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IV. Ý kiến về Bản so sánh, thuyết minh nội dung dự thảo Luật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Rà soát nội dung sửa Điều 11</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sửa đổi khoản 2, khoản 3 và khoản 5 Điều 11 theo hướng Bộ Khoa học và Công nghệ chịu trách nhiệm quản lý nhà nước về quyền sở hữu công nghiệp, quyền đối với giống cây trồng và không còn quy định Bộ Nông nghiệp và Môi trường là cơ quan thực hiện quản lý nhà nước về quyền đối với giống cây trồng.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Tuy nhiên, tại cột “Dự thảo Luật sửa đổi, bổ sung” của Bản so sánh, thuyết minh vẫn còn các nội dung quy định trách nhiệm của Bộ Nông nghiệp và Môi trường tại khoản 2, khoản 3 và khoản 5 Điều 11, trong khi phần thuyết minh ngay bên cạnh xác định nội dung sửa đổi theo hướng bãi bỏ trách nhiệm này.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chỉnh lý cột nội dung dự thảo tại Điều 11 để thống nhất với dự thảo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tài hiệu để thống nhất.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Rà soát nội dung sửa tại Điều 148 và Điều 150</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Khoản 19 Điều 1 dự thảo Luật quy định </w:t>
            </w:r>
            <w:r>
              <w:rPr>
                <w:rFonts w:ascii="Times New Roman" w:eastAsia="Times New Roman" w:hAnsi="Times New Roman" w:cs="Times New Roman"/>
                <w:b/>
                <w:bCs/>
                <w:i/>
                <w:iCs/>
                <w:sz w:val="24"/>
                <w:szCs w:val="24"/>
              </w:rPr>
              <w:t>“Bãi bỏ khoản 1 Điều 148, khoản 2 Điều 150”</w:t>
            </w:r>
            <w:r>
              <w:rPr>
                <w:rFonts w:ascii="Times New Roman" w:eastAsia="Times New Roman" w:hAnsi="Times New Roman" w:cs="Times New Roman"/>
                <w:sz w:val="24"/>
                <w:szCs w:val="24"/>
              </w:rPr>
              <w:t>. Tuy nhiên, tại Bản so sánh, thuyết minh, cột nội dung dự thảo tại khoản 1 Điều 148 và khoản 2 Điều 150 vẫn thể hiện nguyên nội dung quy định hiện hành, trong khi phần thuyết minh xác định các khoản này được bãi bỏ.</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chỉnh lý theo hướng thể hiện rõ nội dung “bãi bỏ” tại cột dự thảo để bảo đảm thống nhất với dự thảo Luật và thuận lợi cho việc theo dõi, đối chiếu.</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 Ý kiến về Báo cáo rà soát các chủ trương, đường lối của Đảng, văn bản quy phạm pháp luật, điều ước quốc tế có liên quan đến dự thảo Luật</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Quốc tế BMVN</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Câu chữ tại khoản 3 Điều 138 khác nhau giữa Dự thảo ("thông tin thay đổi do chuyển nhượng được ghi nhận vào văn bằng…") và  báo cáo rà soát ("thông tin văn bằng bảo hộ được ghi nhận sửa đổi").</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Cơ quan chủ trì soạn thảo xin tiếp thu và chỉnh sửa Báo cáo.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Công ước UPOV, có hiệu lực với Việt Nam từ 24/12/2006, vào danh sách các điều ước quốc tế có liên quan tới dự án Luật trong Báo cáo rà soát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cung cấp thông tin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Công ước UPOV, có hiệu lực với Việt Nam từ 24/12/2006 đã được liệt kê trong bảng Danh sách các Điều ước quốc tế về/có nội dung liên quan đến sở hữu trí tuệ mà Việt Nam là thành viên trong Phụ lục của Báo cáo tại mục 8 với tên tiếng Việt là “Công ước quốc tế về bảo hộ giống cây trồng mới”.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VI. Ý kiến khác </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TP Hải Phòng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bảo đảm thống nhất về nội dung sửa đổi, bổ sung giữa dự thảo Luật, dự thảo Tờ trình, Bản so sánh, thuyết minh, Báo cáo rà soát và Bản thuyết minh quy phạm hóa chính sách, đặc biệt đối với các nội dung liên quan đến sửa đổi văn bằng bảo hộ, chuyển nhượng quyền sở hữu công nghiệp và giám định về sở hữu trí tuệ.</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tài hiệu để thống nhất.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Bắc Ninh</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rà soát, chỉnh lý đồng bộ dự thảo Luật, Tờ trình, Bản so sánh và Bản thuyết minh; thống nhất tên cơ quan sau chuyển giao; khắc phục lỗi lặp từ, lỗi tên cơ quan và các nội dung còn để đồng thời hai phương án. Đặc biệt, cần hoàn thiện đánh giá tác động đối với cơ quan nghiên cứu, cơ sở giáo dục đại học, tổ chức khoa học và công nghệ; bổ sung dự kiến nguồn lực, lộ trình số hóa, kết nối và công khai cơ sở dữ liệu về giống cây trồng.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chỉnh lý tài hiệu để thống nhất.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Xây dựng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chính được đề xuất sửa đổi, bổ sung của Luật SHTT là việc chuyển chức năng quản lý nhà nước về bảo hộ giống cây trồng từ Bộ NNMT sang Bộ KHCN.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Bộ KHCN tiếp tục phối hợp với Bộ NNMT rà soát, đánh giá tác động của việc sửa đổi, bổ sung nêu trên bảo đảm tính thống nhất, đồng bộ, hiệu lực, hiệu quả của hệ thống pháp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về đánh giá tác động chính sách đã được thể hiện tại Tờ trình.</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Lai Châu</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soạn thảo nghiên cứu, báo cáo cấp có thẩm quyền xem xét,đề xuất Quốc hội xây dựng Luật Sở hữu trí tuệ mới thay thế Luật hiện hành và các luật sửa đổi, bổ sung, nhằm bảo đảm tính thống nhất, đồng bộ của hệ thống pháp luật.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Lý do: Luật Sở hữu trí tuệ số 50/2005/QH11 được sửa đổi, bổ sung 04 lần qua các Luật số 36/2009/QH12, 42/2019/QH14, 07/2022/QH15 và 131/2025/QH15. Đồng thời hiện đang có dự thảo Luật sửa đổi, bổ sung một số điều của Luật Sở hữu trí tuệ được đưa ra lấy ý kiến. Việc tiếp tục sửa đổi bằng nhiều văn bản khác nhau gây khó khăn cho việc tra cứu, khai thác và áp dụng pháp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Việc sửa đổi, bổ sung các quy định của Luật SHTT để luật hóa các nội dung đang được thực hiện tạm thời theo Nghị quyết số 66.17/2026/NQ-CP và Nghị quyết số 66.18/2026/NQ-CP và là yêu cầu bắt buộc nhằm bảo đảm tính liên tục, thống nhất và ổn định của hệ thống pháp luật trước thời điểm hai Nghị quyết nêu trên hết hiệu lực. Luật Sửa đổi, bổ sung một số điều của Luật SHTT được thực hiện theo trình tự, thủ tục rút gọn để kịp thời thể chế các nội dung đã được quy định tại 02 Nghị quyết của Chính phủ. Do thời gian, quy trình soạn thảo rất gấp, các nội dung chính sách được phê duyệt để sửa đổi có giới hạn nên việc xây dựng Luật SHTT mới thay thế Luật hiện hành tại thời điểm này là không khả thi. Cơ quan chủ trì soạn thảo xin ghi nhận ý kiến này để nghiên cứu, tham mưu báo cáo cấp có thẩm quyền xem xét, đề xuất Quốc hội xây dựng Luật Sở hữu trí tuệ mới thay thế Luật hiện hành trong lần sửa đổi tiếp theo.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Tập đoàn Công nghiệp Cao su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Ban soạn thảo tiếp tục rà soát, cắt giảm các thủ tục, chi phí tuân thủ liên quan đến đăng ký, duy trì hiệu lực Bằng bảo hộ giống cây trồng theo đúng tinh thần Nghị quyết số 68-NQ/TW và Kết luận số 18-KL/TW (cắt giảm tối thiểu 30% điều kiện kinh doanh, chi phí tuân thủ thủ tục hành chính), tạo thuận lợi hơn nữa cho các doanh nghiệp nghiên cứu, phát triển giống cây trồng trong nước.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Tên thương mại </w:t>
            </w:r>
            <w:r>
              <w:rPr>
                <w:rFonts w:ascii="Times New Roman" w:eastAsia="Times New Roman" w:hAnsi="Times New Roman" w:cs="Times New Roman"/>
                <w:b/>
                <w:bCs/>
                <w:i/>
                <w:iCs/>
                <w:sz w:val="24"/>
                <w:szCs w:val="24"/>
              </w:rPr>
              <w:t>(Điều 4, Điều 74, Điều 76, Điều 78)</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sửa khoản 21 Điều 4 như sau:</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b/>
                <w:bCs/>
                <w:i/>
                <w:iCs/>
                <w:sz w:val="24"/>
                <w:szCs w:val="24"/>
              </w:rPr>
              <w:t>Điều 4. Giải thích từ ngữ</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21. Tên thương mại là tên gọi của tổ chức, cá nhân dùng trong hoạt động kinh doanh để phân biệt chủ thể kinh doanh mang tên gọi đó với chủ thể kinh doanh khác trong cùng lĩnh vực kinh doanh.”</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(bỏ cụm từ "và khu vực kinh doanh"; và đoạn thứ hai của khoản 21 Điều 4)</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sửa khoản 2 Điều 74 như sau:</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b/>
                <w:bCs/>
                <w:i/>
                <w:iCs/>
                <w:sz w:val="24"/>
                <w:szCs w:val="24"/>
              </w:rPr>
              <w:t>Điều 74. Khả năng phân biệt của nhãn hiệu</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2. Nhãn hiệu bị coi là không có khả năng phân biệt nếu nhãn hiệu đó là dấu hiệu thuộc một trong các trường hợp sau đây:</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k) Dấu hiệu trùng hoặc tương tự với tên thương mại </w:t>
            </w:r>
            <w:r>
              <w:rPr>
                <w:rFonts w:ascii="Times New Roman" w:eastAsia="Times New Roman" w:hAnsi="Times New Roman" w:cs="Times New Roman"/>
                <w:b/>
                <w:bCs/>
                <w:i/>
                <w:iCs/>
                <w:sz w:val="24"/>
                <w:szCs w:val="24"/>
                <w:u w:val="single"/>
              </w:rPr>
              <w:t>của người khác đáp ứng điều kiện bảo hộ quy định tại Điều 76 và Điều 78 của Luật này trước ngày nộp đơn hoặc ngày ưu tiên trong trường hợp đơn được hưởng quyền ưu tiên</w:t>
            </w:r>
            <w:r>
              <w:rPr>
                <w:rFonts w:ascii="Times New Roman" w:eastAsia="Times New Roman" w:hAnsi="Times New Roman" w:cs="Times New Roman"/>
                <w:i/>
                <w:iCs/>
                <w:sz w:val="24"/>
                <w:szCs w:val="24"/>
              </w:rPr>
              <w:t>, nếu việc sử dụng dấu hiệu đó có thể gây nhầm lẫn cho người tiêu dùng về nguồn gốc hàng hóa, dịch vụ;”</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sửa Điều 76 như sau:</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b/>
                <w:bCs/>
                <w:i/>
                <w:iCs/>
                <w:sz w:val="24"/>
                <w:szCs w:val="24"/>
              </w:rPr>
              <w:t>Điều 76. Điều kiện chung đối với tên thương mại được bảo hộ</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Tên thương mại được bảo hộ nếu có khả năng phân biệt chủ thể kinh doanh mang tên thương mại đó với chủ thể kinh doanh khác trong cùng lĩnh vực kinh doanh.”</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(bỏ cụm từ "và khu vực kinh doanh")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xuất sửa Điều 78 như sau:</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b/>
                <w:bCs/>
                <w:i/>
                <w:iCs/>
                <w:sz w:val="24"/>
                <w:szCs w:val="24"/>
              </w:rPr>
              <w:t>Điều 78. Khả năng phân biệt của tên thương mại</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Tên thương mại được coi là có khả năng phân biệt nếu đáp ứng các điều kiện sau đây:</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1. Chứa thành phần tên riêng, trừ trường hợp đã được biết đến rộng rãi do sử dụng;</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2. Không trùng hoặc tương tự đến mức gây nhầm lẫn với tên thương mại mà người khác đã sử dụng trước trong cùng lĩnh vực kinh doanh;</w:t>
            </w:r>
          </w:p>
          <w:p>
            <w:pPr>
              <w:shd w:val="clear" w:color="auto" w:fill="FFFFFF"/>
              <w:spacing w:before="40" w:after="40" w:line="240" w:lineRule="auto"/>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3. Không trùng hoặc tương tự đến mức gây nhầm lẫn với nhãn hiệu của người khác hoặc với chỉ dẫn địa lý đã được bảo hộ trước ngày tên thương mại đó được sử dụng.</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4. Đã được doanh nghiệp sử dụng lâu dài, rộng rãi, đạt được uy tín trong lĩnh vực kinh doanh và vượt ra ngoài phạm vi một tỉnh, thành phố trực thuộc trung ương.”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Vì quyền đối với tên thương mại được xác lập trên cơ sở sử dụng trước có thể là cơ sở để từ chối bảo hộ đối với đơn đăng ký cho nhãn hiệu trùng lặp hoặc tương tự gây nhầm lẫn với tên thương mại (Điều 74.2.k), và/ hoặc là cơ sở để hủy bỏ hiệu lực đối với đăng ký cho nhãn hiệu trùng lặp hoặc tương tự gây nhầm lẫn nếu đăng ký nhãn hiệu đó được cấp trên cơ sở đơn đăng ký có ngày ưu tiên muộn hơn, uy tín của thương mại đạt được thông qua sử dụng trong lĩnh vực kinh doanh cần phải ở mức độ nhiều và rộng hơn hoặc ít nhất là tương đương so với nhãn hiệu được thừa nhận và sử dụng rộng rãi.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quyền đối với tên thương mại của một doanh nghiệp được xác lập chỉ dựa trên cơ sở sử dụng tên gọi của doanh nghiệp đó tại một khu vực (trong phạm vi một tỉnh / một vùng nào đó), và có khả năng cản trở việc đăng ký, sử dụng nhãn hiệu trên phạm vi toàn quốc, thì hệ thống bảo hộ quyền SHCN đối với nhãn hiệu (trên cơ sở đăng ký với cơ quan nhà nước) sẽ không còn nhiều ý nghĩa.  Các doanh nghiệp chỉ cần thành lập doanh nghiệp và sử dụng tên doanh nghiệp của mình trong hoạt động kinh doanh thương mại trên một địa bàn nhất định là đã có thể xác lập được quyền được bảo hộ đối với tên gọi của mình mà không cần phải đăng ký nhãn hiệu. Thực tế đã phát sinh rất nhiều vụ tranh chấp phức tạp phát sinh từ xung đột quyền giữa tên thương mại và nhãn hiệu.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Sửa đổi được đề xuất không xung đột với Công Ước Paris và phù hợp với  thông lệ quốc tế. Điều 8 Công ước Paris chỉ loại trừ nghĩa vụ nộp đơn hoặc đăng ký đối với tên thương mại; Công ước không quy định hình thức, ngưỡng hay phạm vi bảo hộ mà để ngỏ cho pháp luật quốc gia. Đó là lý do nhiều nước không có chế định "quyền SHCN đối với tên thương mại" độc lập như Việt Nam mà bảo hộ qua luật chống cạnh tranh không lành mạnh — </w:t>
            </w:r>
            <w:r>
              <w:rPr>
                <w:rFonts w:ascii="Times New Roman" w:eastAsia="Times New Roman" w:hAnsi="Times New Roman" w:cs="Times New Roman"/>
                <w:b/>
                <w:bCs/>
                <w:sz w:val="24"/>
                <w:szCs w:val="24"/>
              </w:rPr>
              <w:t xml:space="preserve">kèm một ngưỡng thực chất </w:t>
            </w:r>
            <w:r>
              <w:rPr>
                <w:rFonts w:ascii="Times New Roman" w:eastAsia="Times New Roman" w:hAnsi="Times New Roman" w:cs="Times New Roman"/>
                <w:sz w:val="24"/>
                <w:szCs w:val="24"/>
              </w:rPr>
              <w:t>(ví dụ như Trung Quốc).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Đối với bảo hộ tên thương mại, có thể tham khảo quy định của Liên minh châu Âu: Khoản 4 Điều 8 Quy chế (EU) 2017/1001 về nhãn hiệu Liên minh châu Âu quy định chủ sở hữu nhãn hiệu chưa đăng ký hoặc dấu hiệu khác được sử dụng trong hoạt động thương mại chỉ được phản đối đăng ký nhãn hiệu Liên minh châu Âu nếu dấu hiệu đó có ý nghĩa vượt quá phạm vi địa phương đơn thuần ("of more than mere local significance"). Hướng dẫn thẩm định của Cơ quan Sở hữu trí tuệ Liên minh châu Âu (EUIPO) khẳng định việc dấu hiệu đã được đăng ký hợp lệ theo pháp luật quốc gia thành viên không miễn trừ cho bên phản đối nghĩa vụ chứng minh dấu hiệu đó đã được sử dụng vượt quá phạm vi địa phương.</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điều kiện bảo hộ tên thương mại không thuộc nội dung chính sách sửa đổi, do đó, Cơ quan chủ trì soạn thảo xin ghi nhận ý kiến này và sẽ nghiên cứu, đề xuất sửa đổi trong lần sửa Luật SHTT tiếp theo. </w:t>
            </w:r>
          </w:p>
        </w:tc>
      </w:tr>
      <w:tr>
        <w:trPr>
          <w:trHeight w:val="240"/>
        </w:trPr>
        <w:tc>
          <w:tcPr>
            <w:tcW w:w="3114" w:type="dxa"/>
          </w:tcPr>
          <w:p>
            <w:pPr>
              <w:shd w:val="clear" w:color="auto" w:fill="FFFFFF"/>
              <w:tabs>
                <w:tab w:val="left" w:pos="2655"/>
              </w:tabs>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Chương X – Chuyển giao quyền sở hữu công nghiệp</w:t>
            </w:r>
            <w:r>
              <w:rPr>
                <w:rFonts w:ascii="Times New Roman" w:eastAsia="Times New Roman" w:hAnsi="Times New Roman" w:cs="Times New Roman"/>
                <w:b/>
                <w:bCs/>
                <w:sz w:val="24"/>
                <w:szCs w:val="24"/>
              </w:rPr>
              <w:tab/>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 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hiện hành chưa có quy định về việc dùng quyền sở hữu công nghiệp làm tài sản bảo đảm.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cân nhắc bổ sung Điều 150a về thế chấp quyền sở hữu công nghiệp:</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“1. Quyền sở hữu công nghiệp, trừ quyền đối với chỉ dẫn địa lý, có thể được sử dụng làm tài sản thế chấp để vay vốn theo quy định của pháp luật về giao dịch bảo đảm. Hợp đồng thế chấp quyền sở hữu công nghiệp phải được lập thành văn bản và đăng ký tại cơ quan có thẩm quyền để có hiệu lực đối kháng với bên thứ ba.</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2. Hợp đồng phải nêu rõ thông tin về tình trạng bảo hộ của quyền sở hữu công nghiệp, bao gồm cả thông tin về việc chuyển giao quyền sử dụng đang thực hiện.</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3. Trường hợp quyền sở hữu công nghiệp thuộc sở hữu chung, việc thế chấp phải có sự đồng ý bằng văn bản của tất cả các đồng chủ sở hữu.</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4. Bên thế chấp có trách nhiệm thực hiện các thủ tục duy trì, gia hạn hiệu lực văn bằng bảo hộ trong thời gian thế chấp.</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5. Chính phủ quy định chi tiết Điều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này đã được nêu trong Bản góp ý Dự thảo Luật sửa đổi, bổ sung một số điều của Luật Sở hữu trí tuệ ngày 04/9/2025.</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Dự thảo Luật lần này có chủ trương về tài chính dựa trên tài sản trí tuệ, nhưng chưa có quy định cụ thể tạo cơ sở pháp lý cho việc dùng quyền sở hữu công nghiệp làm tài sản bảo đảm. Trên thực tế, các tổ chức tín dụng rất dè dặt nhận thế chấp quyền sở hữu trí tuệ do thiếu khung pháp lý về đăng ký, định giá và xử lý tài sản bảo đảm.</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việc dùng quyền sở hữu công nghiệp làm tài sản bảo đảm không thuộc nội dung chính sách sửa đổi, do đó, Cơ quan chủ trì soạn thảo xin ghi nhận ý kiến này và sẽ nghiên cứu, đề xuất sửa đổi trong lần sửa Luật SHTT tiếp theo.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Ngoài ra, pháp luật dân sự đã có các quy định cụ thể về việc sử dụng quyền sở hữu trí tuệ làm tài sản bảo đảm (Bộ luật dân sự; Nghị định 21/2021/NĐ-CP, v.v.)</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198. Quyền tự bảo vệ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 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khoản 1b vào sau khoản 1a Điều 198:</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“1b. Bên nhận chuyển giao quyền sử dụng đối tượng sở hữu công nghiệp chỉ có quyền tự mình áp dụng biện pháp quy định tại điểm d khoản 1 Điều này khi được chủ sở hữu quyền sở hữu công nghiệp đồng ý bằng văn bản hoặc theo thỏa thuận của các bên trong hợp đồng chuyển giao quyền sử dụng.</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Đối với hợp đồng độc quyền quy định tại khoản 1 Điều 143 của Luật này, trường hợp hợp đồng không có thỏa thuận về quyền khởi kiện, bên nhận chuyển giao quyền sử dụng độc quyền có quyền tự mình khởi kiện để bảo vệ quyền và lợi ích hợp pháp của mình đối với hành vi xâm phạm, nếu đã thông báo bằng văn bản về hành vi xâm phạm cho bên chuyển giao quyền và yêu cầu bên chuyển giao quyền thực hiện các hành động nhằm xử lý, chấm dứt hành vi xâm phạm, nhưng bên chuyển giao quyền từ chối hoặc không thực hiện những hành động này trong thời hạn 03 tháng kể từ ngày nhận được thông báo.</w:t>
            </w:r>
          </w:p>
          <w:p>
            <w:pPr>
              <w:shd w:val="clear" w:color="auto" w:fill="FFFFFF"/>
              <w:spacing w:before="40" w:after="4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Bên nhận chuyển giao quyền sử dụng có quyền tham gia tố tụng trong vụ án do chủ sở hữu khởi kiện để yêu cầu bồi thường thiệt hại của mình.”</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Hiện nay Luật Sở hữu trí tuệ chưa quy định rõ tư cách khởi kiện của bên nhận chuyển giao quyền sử dụng (bên nhận li-xăng). Khoản 1 Điều 198 trao quyền tự bảo vệ cho “chủ thể quyền sở hữu trí tuệ”, trong khi khoản 6 Điều 4 định nghĩa chủ thể quyền bao gồm cả tổ chức, cá nhân được chủ sở hữu chuyển giao quyền sở hữu trí tuệ – dẫn đến cách hiểu không thống nhất giữa các cơ quan thực thi, Tòa án về việc bên nhận li-xăng có được tự khởi kiện hay không.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Quyền sở hữu trí tuệ là quyền tài sản thuộc về chủ sở hữu; bên nhận li-xăng chỉ có quyền sử dụng trong phạm vi hợp đồng. Nếu để mọi bên nhận li-xăng đều đương nhiên tự khởi kiện, mọi hậu quả pháp lý của quá trình tố tụng (thắng, thua, hòa giải) đều có thể ảnh hưởng đến phạm vi quyền của chủ sở hữu ngoài ý chí của họ.</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Ngược lại, nếu tuyệt đối không cho bên nhận li-xăng độc quyền khởi kiện thì khi chủ sở hữu (thường là công ty mẹ ở nước ngoài) thờ ơ hoặc chậm hành động, bên nhận li-xăng độc quyền – chính là bên chịu thiệt hại trực tiếp và nặng nhất – sẽ không có công cụ tự bảo vệ.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chế đề xuất (thông báo bằng văn bản + thời hạn 03 tháng) là cách xử lý cân bằng, tương tự pháp luật của nhiều nước (tham khảo</w:t>
            </w:r>
            <w:r>
              <w:rPr>
                <w:rFonts w:ascii="Times New Roman" w:eastAsia="Times New Roman" w:hAnsi="Times New Roman" w:cs="Times New Roman"/>
                <w:b/>
                <w:bCs/>
                <w:i/>
                <w:iCs/>
                <w:sz w:val="24"/>
                <w:szCs w:val="24"/>
              </w:rPr>
              <w:t xml:space="preserve"> </w:t>
            </w:r>
            <w:r>
              <w:rPr>
                <w:rFonts w:ascii="Times New Roman" w:eastAsia="Times New Roman" w:hAnsi="Times New Roman" w:cs="Times New Roman"/>
                <w:b/>
                <w:bCs/>
                <w:i/>
                <w:iCs/>
                <w:sz w:val="24"/>
                <w:szCs w:val="24"/>
                <w:u w:val="single"/>
              </w:rPr>
              <w:t>Phụ lục 1</w:t>
            </w:r>
            <w:r>
              <w:rPr>
                <w:rFonts w:ascii="Times New Roman" w:eastAsia="Times New Roman" w:hAnsi="Times New Roman" w:cs="Times New Roman"/>
                <w:b/>
                <w:bCs/>
                <w:i/>
                <w:iCs/>
                <w:sz w:val="24"/>
                <w:szCs w:val="24"/>
              </w:rPr>
              <w:t xml:space="preserve"> </w:t>
            </w:r>
            <w:r>
              <w:rPr>
                <w:rFonts w:ascii="Times New Roman" w:eastAsia="Times New Roman" w:hAnsi="Times New Roman" w:cs="Times New Roman"/>
                <w:sz w:val="24"/>
                <w:szCs w:val="24"/>
              </w:rPr>
              <w:t>kèm theo).</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Thời hạn 03 tháng được đề xuất để thống nhất với chính Luật Sở hữu trí tuệ Việt Nam: điểm c khoản 2 Điều 193 đã quy định bên nhận chuyển giao quyền sử dụng giống cây trồng được </w:t>
            </w:r>
            <w:r>
              <w:rPr>
                <w:rFonts w:ascii="Times New Roman" w:eastAsia="Times New Roman" w:hAnsi="Times New Roman" w:cs="Times New Roman"/>
                <w:b/>
                <w:bCs/>
                <w:i/>
                <w:iCs/>
                <w:sz w:val="24"/>
                <w:szCs w:val="24"/>
              </w:rPr>
              <w:t>“tiến hành các biện pháp cần thiết để ngăn chặn các hành vi xâm phạm của bên thứ ba, nếu trong thời hạn ba tháng kể từ ngày nhận được yêu cầu của bên chuyển giao quyền sử dụng, bên chuyển giao không thực hiện yêu cầu”.</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quyền tự bảo vệ không thuộc nội dung chính sách sửa đổi, do đó, Cơ quan chủ trì soạn thảo xin ghi nhận ý kiến này và sẽ nghiên cứu, đề xuất sửa đổi trong lần sửa Luật SHTT tiếp theo.</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198b. Trách nhiệm pháp lý về quyền sở hữu trí tuệ đối với doanh nghiệp cung cấp dịch vụ trung gian và chủ quản nền tảng số</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quy định về nghĩa vụ cung cấp thông tin định danh của người bán:</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“Doanh nghiệp cung cấp dịch vụ trung gian, chủ quản nền tảng số có trách nhiệm cung cấp thông tin về tên, địa chỉ, thông tin liên hệ của tổ chức, cá nhân có gian hàng, tài khoản bị nghi ngờ thực hiện hành vi xâm phạm quyền sở hữu trí tuệ theo yêu cầu của Tòa án, cơ quan nhà nước có thẩm quyền.”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Trên thực tế, hành vi xâm phạm trên các sàn thương mại điện tử thường được thực hiện qua gian hàng, tài khoản ẩn danh. Chủ thể quyền chỉ biết tên gian hàng và đường dẫn, không biết tên thật và địa chỉ của người bán, nên không đáp ứng được yêu cầu về ghi tên, nơi cư trú của bị đơn trong đơn khởi kiện theo quy định của Bộ luật Tố tụng dân sự và bị trả lại đơn ngay từ khâu nộp đơn.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trách nhiệm pháp lý về quyền SHTT đối với doanh nghiệp cung cấp dịch vụ trung gian và chủ quản nền tảng số không thuộc nội dung chính sách sửa đổi, do đó, Cơ quan chủ trì soạn thảo xin ghi nhận ý kiến này và sẽ nghiên cứu, đề xuất sửa đổi trong lần sửa Luật SHTT tiếp theo.</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Điều 202. Các biện pháp dân sự</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vào Điều 202</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“Buộc cơ quan, tổ chức, cá nhân có thẩm quyền hoặc có liên quan thực hiện một hoặc một số công việc, hoặc áp dụng một hoặc một số biện pháp cụ thể nhằm thi hành bản án, quyết định của Tòa án hoặc để khắc phục hậu quả của hành vi xâm phạm quyền sở hữu trí tuệ.”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Trên thực tế, để khắc phục triệt để hậu quả của một hành vi xâm phạm quyền sở hữu trí tuệ, cần có sự tham gia của nhiều cơ quan, tổ chức không phải là bị đơn trong vụ án, ví dụ: Trung tâm Internet Việt Nam (VNNIC) đối với việc thu hồi, chuyển giao tên miền cho nguyên đơn; cơ quan đăng ký kinh doanh đối với việc thu hồi, sửa đổi đăng ký doanh nghiệp có tên doanh nghiệp xâm phạm quyền đối với nhãn hiệu; cơ quan quản lý nhà nước về quyền sở hữu công nghiệp đối với việc hủy bỏ hiệu lực văn bằng bảo hộ; cơ quan quản lý nhà nước về quyền tác giả đối với việc hủy bỏ, thu hồi Giấy chứng nhận đăng ký quyền tác giả.</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Nếu Luật không quy định rõ thẩm quyền này, bản án của Tòa án có nguy cơ không thi hành được trên thực tế, dù chủ thể quyền đã thắng kiện.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các biện pháp dân sự trong việc bảo vệ quyền không thuộc nội dung chính sách sửa đổi, do đó, Cơ quan chủ trì soạn thảo xin ghi nhận ý kiến này và sẽ nghiên cứu, đề xuất sửa đổi trong lần sửa Luật SHTT tiếp theo.</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205. Căn cứ xác định mức bồi thường thiệt hại do xâm phạm quyền sở hữu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sửa đổi, bổ sung điểm d khoản 1 Điều 205 như sau:</w:t>
            </w:r>
          </w:p>
          <w:p>
            <w:pPr>
              <w:shd w:val="clear" w:color="auto" w:fill="FFFFFF"/>
              <w:spacing w:before="40" w:after="40" w:line="240" w:lineRule="auto"/>
              <w:jc w:val="both"/>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rPr>
              <w:t xml:space="preserve">“d) Trong trường hợp không thể xác định được mức bồi thường thiệt hại về vật chất theo các căn cứ quy định tại các điểm a, b và c khoản này thì mức bồi thường thiệt hại về vật chất do Tòa án quyết định, tùy thuộc vào mức độ thiệt hại, nhưng không quá một tỷ đồng </w:t>
            </w:r>
            <w:r>
              <w:rPr>
                <w:rFonts w:ascii="Times New Roman" w:eastAsia="Times New Roman" w:hAnsi="Times New Roman" w:cs="Times New Roman"/>
                <w:b/>
                <w:bCs/>
                <w:i/>
                <w:iCs/>
                <w:sz w:val="24"/>
                <w:szCs w:val="24"/>
                <w:u w:val="single"/>
              </w:rPr>
              <w:t>đối với mỗi đối tượng quyền sở hữu trí tuệ bị xâm phạm. Trong trường hợp này, nguyên đơn không phải chứng minh mức thiệt hại thực tế bằng tiền mà chỉ cần chứng minh việc xác định mức bồi thường theo các điểm a, b và c khoản này là không thể thực hiện được.”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Thứ nhất, về việc áp dụng mức trần đối với từng đối tượng quyền: trong một vụ án thường có nhiều đối tượng quyền sở hữu trí tuệ khác nhau bị xâm phạm (ví dụ đồng thời nhãn hiệu, kiểu dáng công nghiệp và quyền tác giả đối với bao bì). Mỗi hành vi xâm phạm đối với mỗi đối tượng có tính độc lập riêng và phải chịu hậu quả pháp lý riêng. Việc áp một mức trần chung cho toàn bộ các đối tượng sẽ dẫn đến hệ quả bất hợp lý là bên xâm phạm càng xâm phạm nhiều đối tượng thì mức bồi thường bình quân cho mỗi đối tượng càng thấp.</w:t>
            </w:r>
          </w:p>
          <w:p>
            <w:pPr>
              <w:shd w:val="clear" w:color="auto" w:fill="FFFFFF"/>
              <w:spacing w:before="40" w:after="40" w:line="240" w:lineRule="auto"/>
              <w:jc w:val="both"/>
              <w:rPr>
                <w:rFonts w:ascii="Times New Roman" w:eastAsia="Times New Roman" w:hAnsi="Times New Roman" w:cs="Times New Roman"/>
                <w:b/>
                <w:bCs/>
                <w:sz w:val="24"/>
                <w:szCs w:val="24"/>
                <w:u w:val="single"/>
              </w:rPr>
            </w:pPr>
            <w:r>
              <w:rPr>
                <w:rFonts w:ascii="Times New Roman" w:eastAsia="Times New Roman" w:hAnsi="Times New Roman" w:cs="Times New Roman"/>
                <w:sz w:val="24"/>
                <w:szCs w:val="24"/>
              </w:rPr>
              <w:t>Thứ hai, về nghĩa vụ chứng minh: điểm d hiện hành vừa thừa nhận “không thể xác định được mức bồi thường thiệt hại về vật chất”, lại vừa buộc Tòa án quyết định “tùy thuộc vào mức độ thiệt hại” – tạo ra một vòng lặp gây lúng túng khi áp dụng. Cần minh thị rằng khi áp dụng điểm d, nguyên đơn chỉ phải chứng minh việc xác định theo các điểm a, b, c là bất khả thi, không phải chứng minh mức thiệt hại thực tế bằng tiền.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căn cứ xác định mức bồi thường thiệt hại do xâm phạm quyền SHTT không thuộc nội dung chính sách sửa đổi, do đó, Cơ quan chủ trì soạn thảo xin ghi nhận ý kiến này và sẽ nghiên cứu, đề xuất sửa đổi trong lần sửa Luật SHTT tiếp theo.</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Điều 207. Các biện pháp khẩn cấp tạm thời</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Luật TNHH IPMAX</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bổ sung điểm đ khoản 1 Điều 207:</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“đ) Ẩn hoặc tạm thời vô hiệu hóa việc truy cập đến thông tin, nội dung, tài khoản, trang, nhóm, kênh, ứng dụng hoặc các định danh số khác có liên quan đến hành vi xâm phạm quyền sở hữu trí tuệ.</w:t>
            </w:r>
          </w:p>
          <w:p>
            <w:pPr>
              <w:shd w:val="clear" w:color="auto" w:fill="FFFFFF"/>
              <w:spacing w:before="40" w:after="40" w:line="240" w:lineRule="auto"/>
              <w:jc w:val="both"/>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Khi áp dụng biện pháp quy định tại điểm này, Tòa án xác định rõ nội dung, tài khoản, trang, kênh, ứng dụng hoặc định danh số cụ thể; chủ thể có khả năng thực hiện; phạm vi và thời hạn áp dụng; không áp dụng đối với toàn bộ gian hàng, tài khoản hoặc ứng dụng nếu có thể ngăn chặn hành vi xâm phạm bằng biện pháp hẹp hơn.”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Phần lớn hành vi xâm phạm quyền sở hữu trí tuệ hiện nay diễn ra trên môi trường số. Các biện pháp khẩn cấp tạm thời hiện hành tại Điều 207 đều được thiết kế cho hàng hóa hữu hình (thu giữ, kê biên, niêm phong), không phù hợp để ngăn chặn kịp thời hành vi xâm phạm trên nền tảng thương mại điện tử, mạng xã hội và ứng dụng.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Nội dung này cũng phù hợp với điểm b khoản 1 Điều 198 Luật Sở hữu trí tuệ (đã ghi nhận biện pháp “gỡ bỏ và xóa nội dung vi phạm trên không gian mạng”) và với yêu cầu về biện pháp thực thi kịp thời, hiệu quả tại các điều ước quốc tế mà Việt Nam là thành viên.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Yêu cầu về tính cụ thể và tương xứng nhằm tránh việc áp dụng quá rộng (khóa toàn bộ gian hàng, tài khoản) gây thiệt hại không cần thiết cho bên bị áp dụng và bên thứ ba ngay tình.</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các biện pháp khẩn cấp tạm thời không thuộc nội dung chính sách sửa đổi, do đó, Cơ quan chủ trì soạn thảo xin ghi nhận ý kiến này và sẽ nghiên cứu, đề xuất sửa đổi trong lần sửa Luật SHTT tiếp theo.</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Hoàn thiện tiêu chí xác định hành vi đăng ký nhãn hiệu với “dụng ý xấu”</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TNHH ADASTRA IP</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Việc bổ sung “dụng ý xấu” làm căn cứ từ chối cấp văn bằng bảo hộ và hủy bỏ hiệu lực đăng ký nhãn hiệu là một bước tiến quan trọng của pháp luật sở hữu trí tuệ Việt Nam, đặc biệt trong bối cảnh các hành vi đầu cơ, chiếm giữ hoặc đăng ký trước nhãn hiệu của chủ thể khác ngày càng phổ biến.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Pháp luật hiện hành đã bước đầu cụ thể hóa các trường hợp đăng ký nhãn hiệu với dụng ý xấu. Tuy nhiên, qua thực tiễn áp dụng, việc chứng minh dụng ý xấu vẫn còn khó khăn, đặc biệt đối với các trường hợp người nộp đơn chỉ đăng ký một hoặc một số ít nhãn hiệu nhưng có đầy đủ dấu hiệu cho thấy đã biết về quyền, hoạt động kinh doanh hoặc nhãn hiệu của chủ thể khác và việc nộp đơn nhằm chiếm đoạt quyền, cản trở chủ thể đó gia nhập thị trường hoặc tạo lợi thế trong đàm phán, chuyển nhượng.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Do đó, chúng tôi kiến nghị tiếp tục hoàn thiện theo hướng xác định “dụng ý xấu” trên cơ sở tổng thể các tình tiết khách quan của từng vụ việc, thay vì giới hạn trong một số mô hình hành vi cụ thể. Các yếu tố có thể được xem xét bao gồm nhưng không giới hạn bởi: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Mối quan hệ hợp tác, đại lý, phân phối, gia công, lao động hoặc quan hệ thương mại trước đó giữa người nộp đơn và chủ thể sử dụng nhãn hiệu;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Khả năng người nộp đơn đã biết hoặc phải biết về nhãn hiệu của người khác tại thời điểm nộp đơn;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Lịch sử nộp nhiều đơn đăng ký trùng hoặc tương tự với nhãn hiệu của các chủ thể khác;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Phạm vi hàng hóa, dịch vụ đăng ký không phù hợp một cách bất thường với hoạt động kinh doanh thực tế của người nộp đơn;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Hành vi chào bán, yêu cầu chuyển nhượng, cấp phép hoặc đòi khoản tiền bất hợp lý đối với chủ thể sử dụng nhãn hiệu trước đó;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Việc sử dụng đăng ký nhãn hiệu chủ yếu nhằm ngăn cản hoạt động kinh doanh, gia nhập thị trường hoặc gây sức ép đối với chủ thể khác; và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Các tình tiết khác thể hiện mục đích chiếm đoạt quyền, lợi dụng uy tín hoặc hành vi trái với tập quán thương mại trung thực.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Đồng thời, cần cho phép cơ quan có thẩm quyền xem xét cả chứng cứ phát sinh ngoài lãnh thổ Việt Nam, như quan hệ thương mại giữa các bên ở nước ngoài, đăng ký nhãn hiệu của chủ thể quyền tại các quốc gia khác, tài liệu quảng bá quốc tế, trao đổi giữa các bên hoặc quyết định của cơ quan có thẩm quyền nước ngoài, nếu các chứng cứ này có ý nghĩa trong việc chứng minh nhận thức và mục đích của người nộp đơn tại thời điểm nộp đơn ở Việt Nam. </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tiêu chí xác định hành vi đăng ký nhãn hiệu với “dụng ý xấu” không thuộc nội dung chính sách sửa đổi.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Hơn nữa, các vấn đề được nêu ra về cơ bản đã được điều chỉnh tại Thông tư 10/2026/TT-BKHCN.</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Hoàn thiện cơ chế đánh giá và bảo hộ nhãn hiệu nổi tiếng</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TNHH ADASTRA IP</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Mặc dù Luật SHTT đã quy định các tiêu chí đánh giá nhãn hiệu nổi tiếng, thực tiễn chứng minh và công nhận nhãn hiệu nổi tiếng tại Việt Nam vẫn còn tương đối khó khăn và thiếu tính dự đoán. Chúng tôi kiến nghị hoàn thiện theo các hướng sau: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Thứ nhất, làm rõ khái niệm “bộ phận công chúng có liên quan”. Không nên hiểu việc một nhãn hiệu “nổi tiếng” theo nghĩa nhãn hiệu đó phải được đại bộ phận dân cư Việt Nam biết đến. Tùy tính chất hàng hóa, dịch vụ, bộ phận công chúng có liên quan có thể bao gồm người tiêu dùng thực tế hoặc tiềm năng, các chủ thể tham gia hệ thống phân phối, thương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mại hoặc các doanh nghiệp hoạt động trong lĩnh vự quan. Có thể tham khảo Khuyến nghị chung của WIPO về bảo hộ nhãn hiệu nổi tiếng để xây dựng hướng dẫn đánh giá thống nhất, đặc biệt đối với hàng hóa, dịch vụ chuyên ngành có nhóm khách hàng tương đối hẹp.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Thứ hai, làm rõ tính chất của các tiêu chí đánh giá nhãn hiệu nổi tiếng. Các tiêu chí luật định nên được xác định là các yếu tố tham khảo để cơ quan có thẩm quyền đánh giá tổng thể, không nên được hiểu là các điều kiện tích lũy mà chủ thể quyền bắt buộc phải chứng minh đầy đủ. Tùy từng ngành hàng và đặc điểm thị trường, mức độ quan trọng của từng loại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chứng cứ về doanh thu, thị phần, quảng cáo, phạm vi sử dụng, giá trị thương hiệu, số lượng quốc gia bảo hộ hoặc lịch sử thực thi quyền có thể khác nhau.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Thứ ba, bảo đảm tính thống nhất trong việc xác định nhãn hiệu nổi tiếng. Cần</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xây dựng cơ chế để kết luận của cơ quan có thẩm quyền về tình trạng nổi tiếng của một nhãn hiệu trong một vụ việc cụ thể được lưu trữ, tra cứu và tham khảo trong các vụ việc sau. Điều này vừa giảm nghĩa vụ chứng minh lặp lại cho chủ thể quyền, vừa hạn chế tình trạng cùng một bộ chứng cứ nhưng được các cơ quan khác nhau đánh giá không thống nhất.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cơ chế đánh giá và bảo hộ nhãn hiệu nổi tiếng không thuộc nội dung chính sách sửa đổi.</w:t>
            </w:r>
          </w:p>
          <w:p>
            <w:pPr>
              <w:shd w:val="clear" w:color="auto" w:fill="FFFFFF"/>
              <w:spacing w:before="40" w:after="40" w:line="240" w:lineRule="auto"/>
              <w:jc w:val="both"/>
              <w:rPr>
                <w:rFonts w:ascii="Times New Roman" w:eastAsia="Times New Roman" w:hAnsi="Times New Roman" w:cs="Times New Roman"/>
                <w:sz w:val="24"/>
                <w:szCs w:val="24"/>
              </w:rPr>
            </w:pP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Ngoài ra, các vấn đề được nêu được quy định tại các văn bản dưới luật. </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Hoàn thiện cơ chế xử lý xung đột giữa nhãn hiệu và quyền tác giả</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TNHH ADASTRA IP</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Theo Điều 73 Luật SHTT, dấu hiệu chứa bản sao tác phẩm không được bảo hộ dưới danh nghĩa nhãn hiệu, trừ trường hợp được phép của chủ sở hữu tác phẩm. Tuy nhiên, trong thực tiễn thẩm định, việc xác định một dấu hiệu có phải là “bản sao tác phẩm” hoặc việc sử dụng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một phần của tác phẩm trong nhãn hiệu có thuộc trường hợp bị loại trừ hay không vẫn có thể phát sinh cách hiểu khác nhau.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Chúng tôi kiến nghị không quy định cứng bằng tỷ lệ phần trăm hoặc mức độ sao chép về mặt hình thức, mà hướng dẫn việc đánh giá trên cơ sở các yếu tố như: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Phần được sử dụng có phải là yếu tố thể hiện tính sáng tạo, đặc trưng của tác phẩm hay không;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Mức độ tương đồng về bố cục, hình thức thể hiện, nhân vật, hình tượng hoặc các yếu tố tạo hình chủ đạo;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Khả năng công chúng nhận biết dấu hiệu đăng ký bắt nguồn hoặc được sao chép từ tác phẩm có trước; và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Việc người nộp đơn có được chủ sở hữu quyền tác giả cho phép sử dụng tác phẩm hay không.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Đồng thời, nên tăng cường cơ chế trao đổi dữ liệu giữa cơ quan quản lý nhà nước về sở hữu công nghiệp và cơ quan quản lý nhà nước về quyền tác giả, nhất là đối với dữ liệu đăng ký quyền tác giả đối với tác phẩm mỹ thuật, tác phẩm mỹ thuật ứng dụng, nhân vật và hình tượng, nhằm hỗ trợ hoạt động tra cứu và thẩm định các đơn nhãn hiệu có dấu hiệu xung đột với quyền tác giả có trước.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Các vấn đề được nêu ra về cơ bản sẽ được quy định trong các văn bản quy định chi tiết và các quy chế thẩm định của cơ quan quản lý nhà nước về sở hữu công nghiệp.</w:t>
            </w:r>
          </w:p>
          <w:p>
            <w:pPr>
              <w:shd w:val="clear" w:color="auto" w:fill="FFFFFF"/>
              <w:spacing w:before="40" w:after="40" w:line="240" w:lineRule="auto"/>
              <w:jc w:val="both"/>
              <w:rPr>
                <w:rFonts w:ascii="Times New Roman" w:eastAsia="Times New Roman" w:hAnsi="Times New Roman" w:cs="Times New Roman"/>
                <w:sz w:val="24"/>
                <w:szCs w:val="24"/>
              </w:rPr>
            </w:pP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Nghiên cứu cơ chế tăng cường yêu cầu sử dụng thực tế đối với nhãn hiệu đã đăng ký</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Công ty TNHH ADASTRA IP</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Pháp luật Việt Nam hiện đã có cơ chế chấm dứt hiệu lực đăng ký nhãn hiệu trong trường hợp nhãn hiệu không được chủ sở hữu hoặc người được chủ sở hữu cho phép sử dụng trong thời hạn luật định. Tuy nhiên, cơ chế này về cơ bản phụ thuộc vào việc một bên thứ ba chủ động yêu cầu chấm dứt hiệu lực.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Trong khi đó, trên thực tế tồn tại số lượng đáng kể nhãn hiệu đã đăng ký nhưng không còn được sử dụng, vẫn tiếp tục tồn tại trên cơ sở dữ liệu và có thể trở thành đối chứng đối với các đơn đăng ký sau.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 đó, về dài hạn, chúng tôi kiến nghị nghiên cứu cơ chế yêu cầu chủ sở hữu xác nhận tình trạng sử dụng nhãn hiệu tại thời điểm gia hạn hoặc trong một số giai đoạn thích hợp của thời hạn bảo hộ. Cơ chế này có thể được thiết kế đơn giản, ưu tiên hình thức điện tử và không nhất thiết áp dụng mô hình chứng minh sử dụng nghiêm ngặt như một số quốc gia, nhằm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tránh tạo thêm gánh nặng thủ tục cho doanh nghiệp.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Mục tiêu chủ yếu là từng bước làm sạch dữ liệu đăng ký nhãn hiệu, hạn chế tình trạng duy trì quyền chỉ nhằm chiếm giữ dấu hiệu mà không có hoạt động sử dụng thương mại thực tế, đồng thời tạo điều kiện thuận lợi hơn cho các chủ thể có nhu cầu sử dụng nhãn hiệu một cách bona fide.</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Sửa đổi, bổ sung một số điều của Luật SHTT được thực hiện theo trình tự, thủ tục rút gọn để kịp thời thể chế các nội dung đã được quy định tại Nghị quyết số 66.17/2026/NQ-CP và Nghị quyết số 66.18/2026/NQ-CP. Phạm vi chính sách được phê duyệt trong lần sửa đổi lần này bao gồm: (i) Đẩy mạnh đơn giản hóa thủ tục hành chính, cắt giảm điều kiện kinh doanh tạo thuận lợi cho việc đăng ký, xác lập quyền SHTT; và (ii) Kiện toàn đầu mối quản lý nhà nước trong hoạt động bảo hộ quyền đối với giống cây trồng. Nội dung về cơ chế tăng cường yêu cầu sử dụng thực tế đối với nhãn hiệu đã đăng ký không thuộc nội dung chính sách sửa đổi, do đó, Cơ quan chủ trì soạn thảo xin ghi nhận ý kiến này và sẽ nghiên cứu, đề xuất sửa đổi trong lần sửa Luật SHTT tiếp theo.</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Tuyên Quang</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Đề nghị bổ sung thêm tại Điều 1, khoản 12a như sau: </w:t>
            </w:r>
            <w:r>
              <w:rPr>
                <w:rFonts w:ascii="Times New Roman" w:eastAsia="Times New Roman" w:hAnsi="Times New Roman" w:cs="Times New Roman"/>
                <w:b/>
                <w:bCs/>
                <w:i/>
                <w:iCs/>
                <w:sz w:val="24"/>
                <w:szCs w:val="24"/>
                <w:u w:val="single"/>
              </w:rPr>
              <w:t>Sáng chế được cơ quan nhà nước có thẩm quyền xác định là bí mật nhà nước theo pháp luật về bảo vệ bí mật nhà nước gọi là sáng chế tuyệt mật” Sáng chế nhà nước các sở hữu các sáng chế quốc phòng, an ninh, các sản phẩm sinh học, dược học, gen con, dữ liệu phục vụ công tác nhà nước bảo vệ bí mật nhà nước, an ninh chính trị nội bộ.</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SHTT và các văn bản pháp luật hiện hành về bảo vệ bí mật nhà nước đã có các quy định liên quan đến sáng chế mật, do vậy cơ quan chủ trì soạn thảo đề xuất không bổ sung quy định này.</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trPr>
          <w:trHeight w:val="240"/>
        </w:trP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Về quyền của tác giả và cơ chế phân chia lợi ích từ khai thác tài sản trí tuệ</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và Công nghệ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nghiên cứu bổ sung quy định mang tính nguyên tắc về quyền được hưởng lợi ích của tác giả, đồng tác giả đối với kết quả sáng tạo từ việc khai thác, chuyển giao, cấp quyền sử dụng và thương mại hóa tài sản trí tuệ, đặc biệt đối với các kết quả nghiên cứu được hình thành trong quá trình thực hiện nhiệm vụ khoa học, công nghệ và đổi mới sáng tạo.</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Dự thảo bổ sung quy định về xác định tác giả giống cây trồng tại Điều 185 và quyền của tác giả giống cây trồng tại Điều 191 là cần thiết. Tuy nhiên, đề nghị nghiên cứu mở rộng nguyên tắc này đối với các đối tượng sở hữu trí tuệ (SHTT) khác, nhất là sáng chế, giải pháp hữu ích, thiết kế bố trí, chương trình máy tính và các kết quả nghiên cứu có khả năng được khai thác, chuyển giao, thương mại hóa.</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nghiên cứu bổ sung và thống nhất các quy định về quyền được hưởng lợi ích của tác giả, đồng tác giả từ việc khai thác, chuyển giao, cấp quyền sử dụng và thương mại hóa tài sản trí tuệ, đặc biệt đối với các kết quả nghiên cứu được hình thành trong quá trình thực hiện nhiệm vụ khoa học, công nghệ và đổi mới sáng tạo.</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 rà soát cho thấy, Luật Sở hữu trí tuệ năm 2025, Luật Chuyển giao công nghệ năm 2025 và Luật Khoa học, công nghệ và đổi mới sáng tạo năm 2025 đã có các quy định liên quan đến quyền, thù lao và phân chia lợi ích cho tác giả; tuy nhiên, các quy định hiện nay chưa thật sự đồng bộ về phạm vi áp dụng, đối tượng tài sản trí tuệ, căn cứ tính và phương thức phân chia lợi ích, dẫn đến khó khăn trong tổ chức thực hiện, đặc biệt đối với các kết quả nghiên cứu được hình thành từ nhiệm vụ sử dụng ngân sách nhà nước.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Luật Khoa học, công nghệ và đổi mới sáng tạo đã quy định đối với phần lợi nhuận tương ứng với kết quả của nhiệm vụ sử dụng ngân sách nhà nước, tác giả được thưởng tối thiểu 30% lợi nhuận trong trường hợp cho thuê, bán, chuyển nhượng, chuyển giao quyền sử dụng hoặc tự khai thác, sử dụng kết quả; đồng thời quy định mức tối thiểu 30% giá trị kết quả được xác định khi góp vốn, hợp tác, liên doanh, liên kết, kinh doanh dịch vụ hoặc thành lập doanh nghiệp. Luật cũng quy định trường hợp có đồng tác giả thì các đồng tác giả tự thỏa thuận việc phân chia phần lợi nhuận được thưởng.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khi đó, đối với các đối tượng SHTT được bảo hộ theo Luật Sở hữu trí tuệ, cơ chế quyền lợi của tác giả lại được quy định theo từng đối tượng và chưa hình thành một nguyên tắc thống nhất về mối quan hệ giữa quyền của tác giả, quyền của chủ sở hữu và lợi ích thu được từ thương mại hóa tài sản trí tuệ. Đối với sáng chế, kiểu dáng công nghiệp và thiết kế bố trí, pháp luật SHTT hiện hành chủ yếu quy định quyền nhận thù lao của tác giả; trong khi cơ chế phân chia lợi nhuận từ kết quả nghiên cứu sử dụng ngân sách nhà nước lại được điều chỉnh bởi pháp luật về khoa học, công nghệ và đổi mới sáng tạo. Đặc biệt, Luật Khoa học, công nghệ và đổi mới sáng tạo đã quy định trường hợp kết quả nhiệm vụ sử dụng ngân sách nhà nước là sáng chế, thiết kế bố trí, kiểu dáng công nghiệp hoặc giống cây trồng được bảo hộ theo Luật Sở hữu trí tuệ, tác giả được hưởng quyền lợi theo quy định về phân chia lợi nhuận của Luật này và các quyền lợi khác theo Luật Sở hữu trí tuệ.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 đó, đề nghị Dự thảo Luật Sở hữu trí tuệ rà soát và thiết kế quy định theo hướng đồng bộ với Luật Khoa học, công nghệ và đổi mới sáng tạo, tránh tình trạng cùng một kết quả nghiên cứu nhưng việc xác định quyền lợi của tác giả được áp dụng theo các cơ chế khác nhau tùy thuộc vào cách thức khai thác hoặc loại tài sản trí tuệ. Bảo đảm một phần nguồn thu từ khai thác tài sản trí tuệ được tái đầu tư cho hoạt động nghiên cứu, phát triển công nghệ và đổi mới sáng tạo, qua đó tạo chu trình khép kín từ nghiên cứu, tạo lập tài sản trí tuệ, thương mại hóa đến tái đầu tư cho nghiên cứu. Việc luật hóa tỷ lệ tối thiểu dành cho tái đầu tư là cần thiết để tạo căn cứ pháp lý trực tiếp cho các tổ chức khoa học và công nghệ thực hiện, tránh tình trạng có nguồn thu từ tài sản trí tuệ nhưng không có cơ sở pháp lý rõ ràng để dành nguồn lực cho việc tiếp tục nghiên cứu, hoàn thiện và phát triển công nghệ. Đồng thời, cơ chế này sẽ góp phần chuyển hoạt động khai thác tài sản trí tuệ từ nguồn thu đơn lẻ thành nguồn lực tài chính thường xuyên cho phát triển khoa học, công nghệ và đổi mới sáng tạo.</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Pháp luật về khoa học, công nghệ, đổi mới sáng tạo và pháp luật sở hữu trí tuệ đã có các quy định về quyền của tác giả, quyền của chủ sở hữu, kể cả đối với các đối tượng sở hữu trí tuệ được tạo ra từ ngân sách nhà nước. Theo đó, đối với các đối tượng không thuộc diện được tạo ra từ ngân sách nhà nước, việc phân chia hoàn toàn thuộc quyền của chủ thể quyền. Đối với các đối tượng SHTT được tạo ra từ ngân sách nhà nước, đã có các quy định về quyền của tác giả cũng như quyền của người được giao kết quả nghiên cứu khoa học và công nghệ.</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Về dữ liệu, trí tuệ nhân tạo và tài sản trí tuệ trong môi trường số</w:t>
            </w: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và Công nghệ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nghiên cứu bổ sung các quy định, nguyên tắc pháp lý về bảo hộ và khai thác quyền SHTT trong môi trường số, phù hợp với sự phát triển nhanh chóng của trí tuệ nhân tạo (AI), dữ liệu lớn, công nghệ số và các phương thức sáng tạo, khai thác tài sản trí tuệ mới.</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Thực tiễn phát triển khoa học, công nghệ và đổi mới sáng tạo đang đặt ra nhiều vấn đề mới mà các quy định hiện hành về SHTT chưa giải quyết đầy đủ, đặc biệt đối với sản phẩm được tạo ra có sự hỗ trợ của AI, dữ liệu được sử dụng để phát triển và huấn luyện hệ thống AI, cơ sở dữ liệu và việc xác định trách nhiệm khi sử dụng AI làm phát sinh hành vi xâm phạm quyền SHTT. Đề nghị nghiên cứu, làm rõ một số vấn đề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Xác định tác giả, đồng tác giả và chủ sở hữu quyền SHTT đối với kết quả, sản phẩm được tạo ra có sự hỗ trợ của AI; phân định trường hợp AI chỉ là công cụ hỗ trợ với trường hợp mức độ can thiệp của con người không đủ để xác lập quyền tác giả;</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Xác định khả năng và điều kiện bảo hộ đối với sản phẩm do AI tạo ra, bao gồm tác phẩm, phần mềm, thiết kế và các đối tượng SHTT khác;</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Quyền sử dụng tác phẩm, dữ liệu và cơ sở dữ liệu cho mục đích huấn luyện, phát triển và vận hành hệ thống AI, trong đó cần cân bằng giữa quyền của chủ thể SHTT với yêu cầu khai thác dữ liệu phục vụ nghiên cứu, phát triển khoa học, công nghệ và đổi mới sáng tạo;</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Cơ chế bảo hộ và khai thác quyền đối với cơ sở dữ liệu, nhất là các cơ sở dữ liệu có giá trị khoa học, công nghệ được hình thành từ nguồn lực đầu tư của Nhà nước, tổ chức nghiên cứu hoặc doanh nghiệp;</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Trách nhiệm pháp lý của tổ chức, cá nhân trong trường hợp sử dụng AI tạo ra, sao chép, phổ biến hoặc khai thác nội dung xâm phạm quyền SHTT, bao gồm việc xác định chủ thể chịu trách nhiệm và căn cứ xác định hành vi xâm phạm;</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Cơ chế chứng minh nguồn gốc, quá trình tạo lập và sử dụng dữ liệu, tác phẩm trong hệ thống AI, phục vụ việc xác lập quyền, quản lý và giải quyết tranh chấp về SHTT.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nghiên cứu bổ sung các nguyên tắc có tính định hướng ngay trong Luật, đồng thời cập nhật quy định chi tiết đối với những vấn đề có tính kỹ thuật, thường xuyên thay đổi theo sự phát triển của công nghệ. Cách tiếp cận này vừa tạo cơ sở pháp lý ban đầu cho việc quản lý, bảo hộ và khai thác tài sản trí tuệ trong môi trường AI, vừa bảo đảm tính linh hoạt, tránh tình trạng quy định pháp luật nhanh chóng lạc hậu trước sự phát triển của công nghệ.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Đặc biệt, đề nghị nghiên cứu theo hướng không tạo ra rào cản đối với hoạt động nghiên cứu, phát triển AI và khai thác dữ liệu phục vụ khoa học, công nghệ và đổi mới sáng tạo, đồng thời bảo đảm quyền và lợi ích hợp pháp của tác giả, chủ sở hữu quyền SHTT và các chủ thể cung cấp dữ liệu.</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Luật Sửa đổi, bổ sung một số điều của Luật SHTT số 131/2025/QH15 đã bổ sung các quy định liên quan đến dữ liệu, tài sản trí tuệ trong môi trường số và đặc biệt là các quy định liên quan đến trí tuệ nhân tạo. Cụ thể là:</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Mở rộng bảo hộ kiểu dáng công nghiệp cho sản phẩm phi vật lý (ví dụ: giao diện đồ họa người dùng (GUI), icon, v.v) để bảo hộ trong môi trường số.</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Quy định để xử lý một số vấn đề phát sinh do sự phát triển của công nghệ, nổi bật là các vấn đề liên quan đến hệ thống trí tuệ nhân tạo (AI), cụ thể: (i) Quy định khai thác dữ liệu để nghiên cứu, thử nghiệm, huấn luyện hệ thống AI với điều kiện không ảnh hưởng bất hợp lý đến quyền và lợi ích hợp pháp của chủ sở hữu, tác giả và tuân thủ các quy định của Chính phủ; và (ii) Quy định về vấn đề bảo hộ SHTT đối với đối tượng do AI tạo ra hoặc có sử dụng AI trong quá trình tạo ra.</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Bổ sung thêm các chế tài, biện pháp dân sự để xử lý hành vi xâm phạm quyền trên môi trường số, quy định rõ trách nhiệm của chủ quản nền tảng số trong việc triển khai các biện pháp bảo vệ quyền SHTT.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Các quy định này mới có hiệu lực từ ngày 01/4/2026, do đó, cần phải có thời gian áp dụng thực tiễn đủ lớn mới có thể đánh giá, nghiên cứu về việc sửa đổi, bổ sung.</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Viện Hàn lâm Khoa học và Công nghệ Việt Nam</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Bộ KHCN nghiên cứu tiếp thu các ý kiến, trong đó quan tâm mở rộng phạm vi sửa đổi theo hướng không chỉ tập trung vào cải cách TTHC mà còn hoàn thiện cơ chế quản trị, khai thác và thương mại hóa tài sản trí tuệ, đặc biệt là tài sản trí tuệ hình thành từ nhiệm vụ KHCN và ĐMST sử dụng ngân sách nhà nước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Tại Luật Sửa đổi, bổ sung một số điều của Luật SHTT số 131/2025/QH15 đã bổ sung các quy định liên quan đến hỗ trợ tạo ra và khai thác thương mại quyền SHTT nhằm biến quyền SHTT thành tài sản sinh lời, góp phần phát triển kinh tế - xã hội. Các quy định này mới có hiệu lực từ ngày 01/4/2026, do đó, cần phải có thời gian áp dụng thực tiễn đủ lớn mới có thể đánh giá, nghiên cứu về việc sửa đổi, bổ sung.</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Ngoài ra, đối với tài sản trí tuệ hình thành từ nhiệm vụ KHCN và ĐMST sử dụng ngân sách nhà nước sẽ được điều chỉnh theo Luật KHCN&amp;ĐMST. Theo đó, khoản 2 Điều 25 của KHCN&amp;ĐMST, trừ một số trường hợp đặc biệt, tổ chức chủ trì được Nhà nước giao tự động quyền quản lý, sử dụng (bao gồm cả khai thác, thương mại hóa), sở hữu phần kết quả nhiệm vụ khoa học, công nghệ và đổi mới sáng tạo (trong đó bao gồm tài sản trí tuệ) tương ứng với kinh phí từ ngân sách nhà nước (không phải thực hiện thủ tục giao quyền quản lý, sử dụng, quyền sở hữu và không phải bồi hoàn chi phí cho Nhà nước).</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Ngoại giao</w:t>
            </w:r>
          </w:p>
        </w:tc>
        <w:tc>
          <w:tcPr>
            <w:tcW w:w="5954"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Hiện nay, nhiều đối tác, trong đó có Hoa Kỳ, quan tâm, theo dõi sát về việc bảo hộ và thực thi quyền SHTT tại Việt Nam. Ngày 29/5/2026, Cơ quan Đại diện thương mại Hoa Kỳ (USTR) cũng đã khởi xướng điều tra theo Mục 301 của Đạo luật Thương mại năm 1974 đối với một số vấn đề liên quan đến bảo hộ và thực thi quyền SHTT của Việt Nam. Do đó, trong quá trình hoàn thiện khuôn khổ pháp luật, trong đó có Luật SHTT, ta cần tiếp tục chú trọng các nội dung liên quan nâng cao năng lực thực thi, bảo đảm xử lý hiệu quả, kịp thời các vụ việc về SHTT. Đây vừa là yêu cầu phục vụ phát triển, cải thiện môi trường đầu tư, kinh doanh trong nước, vừa nhằm xử lý các quan tâm, vướng mắc trong quan hệ kinh tế - thương mại giữa ta với các nước đối tác.</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Tại Luật Sửa đổi, bổ sung một số điều của Luật SHTT số 131/2025/QH15 đã bổ sung các quy định liên quan đến việc nâng cao hiệu quả của hoạt động bảo vệ quyền SHTT, cụ thể là bổ sung thêm các chế tài, biện pháp dân sự để xử lý hành vi xâm phạm quyền trên môi trường số, quy định rõ trách nhiệm của chủ quản nền tảng số trong việc triển khai các biện pháp bảo vệ quyền SHTT; đồng thời nâng mức bồi thường thiệt hại theo luật định để tăng tính răn đe và phù hợp với thực tiễn. </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Ngoài ra, vấn đề lớn nhất mà Cơ quan Đại diện thương mại Hoa Kỳ (USTR) nêu ra là khả năng thực thi quyền của các cơ quan chức năng của Việt Nam mà không phải là trọng tâm về quy định pháp luật. </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chủ trì soạn thảo nghiên cứu kinh nghiệm quốc tế, trên cơ sở đó hoàn thiện Luật SHTT để bảo đảm cân bằng giữa việc bảo vệ quyền, lợi ích hợp pháp của chủ thể quyền sở hữu trí tuệ với yêu cầu thúc đẩy đổi mới sáng tạo, phát triển kinh tế - xã hội; đồng thời, nghiên cứu các quy định linh hoạt (flexibilities) được ghi nhận trong các điều ước quốc tế về sở hữu trí tuệ nhằm bảo vệ, bảo đảm lợi ích quốc gia, dân tộc trong khai thác, sử dụng quyền sở hữu trí tuệ.</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tiếp tục nghiên cứu những khó khăn, vướng mắc từ thực tiễn thi hành Luật SHTT; cập nhật, nghiên cứu các vấn đề mới phát sinh có liên quan để có giải pháp xử lý phù hợp, hoàn thiện dự thảo Luật, qua đó thúc đẩy đổi mới sáng tạo, kiến tạo và phát triển.</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rà soát, nghiên cứu, đảm bảo dự thảo Luật đáp ứng các yêu cầu đặt ra.</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Thực hiện Thông báo số 12-TB/BCĐTW ngày 30/7/2026 về Kết luận Phiên họp thứ hai của Ban Chỉ đạo Trung ương về phát triển văn hóa Việt Nam đã giao Đảng ủy Chính phủ </w:t>
            </w:r>
            <w:r>
              <w:rPr>
                <w:rFonts w:ascii="Times New Roman" w:eastAsia="Times New Roman" w:hAnsi="Times New Roman" w:cs="Times New Roman"/>
                <w:b/>
                <w:bCs/>
                <w:i/>
                <w:iCs/>
                <w:sz w:val="24"/>
                <w:szCs w:val="24"/>
                <w:u w:val="single"/>
              </w:rPr>
              <w:t>“Chủ trì, phối hợp với các cơ quan liên quan kịp thời chỉ đạo xây dựng, hoàn thiện,.. trình Quốc hội dự án Luật Phát triển công nghiệp văn hóa tại Kỳ họp thứ 2 theo trình tự, thủ tục rút gọn (tháng 10/2026)”,</w:t>
            </w:r>
            <w:r>
              <w:rPr>
                <w:rFonts w:ascii="Times New Roman" w:eastAsia="Times New Roman" w:hAnsi="Times New Roman" w:cs="Times New Roman"/>
                <w:sz w:val="24"/>
                <w:szCs w:val="24"/>
              </w:rPr>
              <w:t xml:space="preserve"> Bộ Văn hóa, Thể thao và Du lịch đang được giao nhiệm vụ chủ trì xây dựng dự án Luật Phát triển công nghiệp văn hóa, trong đó, khoản 3 Điều 58 dự thảo Luật dự kiến sửa đổi, bổ sung một số điều của Luật SHTT, vì vậy, đề nghị cơ quan chủ trì soạn thảo trao đổi, phối hợp với Bộ Văn hóa, Thể thao và Du lịch để đưa các nội dung sửa đổi, bổ sung Luật SHTT (nếu cần thiết) tại dự án Phát triển công nghiệp văn hóa vào dự án Luật sửa đổi, bổ sung một số điều của Luật SHTT.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và phối hợp với Bộ Văn hóa, Thể thao và Du lịch</w:t>
            </w:r>
            <w:r>
              <w:t xml:space="preserve"> </w:t>
            </w:r>
            <w:r>
              <w:rPr>
                <w:rFonts w:ascii="Times New Roman" w:eastAsia="Times New Roman" w:hAnsi="Times New Roman" w:cs="Times New Roman"/>
                <w:sz w:val="24"/>
                <w:szCs w:val="24"/>
              </w:rPr>
              <w:t>để đưa các nội dung sửa đổi, bổ sung Luật SHTT (nếu cần thiết).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cơ quan trì soạn thảo tiếp tục phối hợp với các bộ, ngành, địa phương, nhà khoa học, người làm thực tiễn để phát hiện, đánh giá các khó khăn, vướng mắc, bất cập (do quy định của Luật, do tổ chức thi hành hoặc cả hai) trong quá trình triển khai thi hành Luật SHTT, đồng thời, nghiên cứu thêm kinh nghiệm quốc tế về vấn đề này, trên cơ sở đó đề xuất hướng hoàn thiện dự thảo Luật.</w:t>
            </w:r>
          </w:p>
        </w:tc>
        <w:tc>
          <w:tcPr>
            <w:tcW w:w="4253" w:type="dxa"/>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Bộ Tư pháp</w:t>
            </w:r>
          </w:p>
        </w:tc>
        <w:tc>
          <w:tcPr>
            <w:tcW w:w="5954"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Bộ Khoa học và Công nghệ rà soát, xây dựng dự thảo Luật theo đúng trình tự, thủ tục quy định tại Luật Ban hành văn bản quy phạm pháp luật số 64/2025/QH15 được sửa đổi, bổ sung bởi Luật số 87/2025/QH15 (Luật BHVBQPPL) và các văn bản hướng dẫn thi hành; lấy ý kiến các chuyên gia, nhà khoa học, người làm thực tiễn, đối tượng chịu sự tác động trực tiếp của văn bản; hoàn thiện hồ sơ, dự thảo Luật đảm bảo đúng và đầy đủ các tài liệu (cả về hình thức và nội dung) theo quy định tại Điều 50, Điều 51 Luật BHVBQPPL, Chương V Nghị định số 78/2025/NĐ-CP ngày 01/04/2025 của Chính phủ quy định quy định chi tiết một số điều và biện pháp để tổ chức, hướng dẫn thi hành Luật BHVBQPPL (được sửa đổi, bổ sung bởi Nghị định số 187/2025/NĐ-CP) (trong trường hợp được Ủy ban Thường vụ Quốc hội cho phép áp dụng trình tự, thủ tục rút gọn) gửi Bộ Tư pháp thẩm định trước khi trình Chính phủ cho ý kiến và trình Quốc hội, Ủy ban Thường vụ Quốc hội.</w:t>
            </w:r>
          </w:p>
        </w:tc>
        <w:tc>
          <w:tcPr>
            <w:tcW w:w="4253"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tiếp thu đảm bảo việc soạn thảo dự án Luật tuân thủ đúng trình tự, thủ tục quy định tại Luật ban hành văn bản quy phạm pháp luật.</w:t>
            </w:r>
          </w:p>
        </w:tc>
      </w:tr>
      <w:tr>
        <w:tc>
          <w:tcPr>
            <w:tcW w:w="3114" w:type="dxa"/>
          </w:tcPr>
          <w:p>
            <w:pPr>
              <w:shd w:val="clear" w:color="auto" w:fill="FFFFFF"/>
              <w:spacing w:before="40" w:after="40" w:line="240" w:lineRule="auto"/>
              <w:ind w:right="43"/>
              <w:jc w:val="both"/>
              <w:rPr>
                <w:rFonts w:ascii="Times New Roman" w:eastAsia="Times New Roman" w:hAnsi="Times New Roman" w:cs="Times New Roman"/>
                <w:b/>
                <w:bCs/>
                <w:sz w:val="24"/>
                <w:szCs w:val="24"/>
              </w:rPr>
            </w:pPr>
          </w:p>
        </w:tc>
        <w:tc>
          <w:tcPr>
            <w:tcW w:w="1701"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Sở KHCN Sơn La</w:t>
            </w:r>
          </w:p>
        </w:tc>
        <w:tc>
          <w:tcPr>
            <w:tcW w:w="5954"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Đề nghị rà soát, sửa đổi khoản 4 Điều 121 và khoản 3 Điều 213 theo hướng làm rõ cơ chế trao quyền sử dụng chỉ dẫn địa lý.</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Lý do: Tại khoản 4 Điều 121 quy định Nhà nước </w:t>
            </w:r>
            <w:r>
              <w:rPr>
                <w:rFonts w:ascii="Times New Roman" w:eastAsia="Times New Roman" w:hAnsi="Times New Roman" w:cs="Times New Roman"/>
                <w:b/>
                <w:bCs/>
                <w:i/>
                <w:iCs/>
                <w:sz w:val="24"/>
                <w:szCs w:val="24"/>
              </w:rPr>
              <w:t xml:space="preserve">“trao quyền sử dụng chỉ dẫn địa lý” </w:t>
            </w:r>
            <w:r>
              <w:rPr>
                <w:rFonts w:ascii="Times New Roman" w:eastAsia="Times New Roman" w:hAnsi="Times New Roman" w:cs="Times New Roman"/>
                <w:sz w:val="24"/>
                <w:szCs w:val="24"/>
              </w:rPr>
              <w:t>nhưng chưa xác định rõ hình thức trao quyền, điều kiện, thời điểm phát sinh/thực hiện quyền và khoản 3 Điều 213 sử dụng tiêu chí tổ chức, cá nhân</w:t>
            </w:r>
            <w:r>
              <w:rPr>
                <w:rFonts w:ascii="Times New Roman" w:eastAsia="Times New Roman" w:hAnsi="Times New Roman" w:cs="Times New Roman"/>
                <w:b/>
                <w:bCs/>
                <w:i/>
                <w:iCs/>
                <w:sz w:val="24"/>
                <w:szCs w:val="24"/>
              </w:rPr>
              <w:t xml:space="preserve"> “không có quyền sử dụng chỉ dẫn địa lý theo khoản 4 Điều 121”</w:t>
            </w:r>
            <w:r>
              <w:rPr>
                <w:rFonts w:ascii="Times New Roman" w:eastAsia="Times New Roman" w:hAnsi="Times New Roman" w:cs="Times New Roman"/>
                <w:sz w:val="24"/>
                <w:szCs w:val="24"/>
              </w:rPr>
              <w:t xml:space="preserve"> để xác định hàng hóa giả mạo CDĐL. Trong khi đó, Điều 38 Nghị định số 65/2023/NĐ-CP được sửa đổi bởi Nghị định số 100/2026/NĐ-CP quy định tổ chức, cá nhân phải thông báo để được tổ chức quản lý ghi nhận vào danh sách trước khi sử dụng CDĐL và chưa quy định rõ giá trị pháp lý của việc ghi nhận tổ chức, cá nhân vào danh sách người sử dụng CDĐL với việc trao quyền sử dụng chỉ dẫn địa lý.</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Việc chưa xác định rõ mối quan hệ giữa </w:t>
            </w:r>
            <w:r>
              <w:rPr>
                <w:rFonts w:ascii="Times New Roman" w:eastAsia="Times New Roman" w:hAnsi="Times New Roman" w:cs="Times New Roman"/>
                <w:b/>
                <w:bCs/>
                <w:i/>
                <w:iCs/>
                <w:sz w:val="24"/>
                <w:szCs w:val="24"/>
              </w:rPr>
              <w:t xml:space="preserve">“trao quyền sử dụng” </w:t>
            </w:r>
            <w:r>
              <w:rPr>
                <w:rFonts w:ascii="Times New Roman" w:eastAsia="Times New Roman" w:hAnsi="Times New Roman" w:cs="Times New Roman"/>
                <w:sz w:val="24"/>
                <w:szCs w:val="24"/>
              </w:rPr>
              <w:t xml:space="preserve">và </w:t>
            </w:r>
            <w:r>
              <w:rPr>
                <w:rFonts w:ascii="Times New Roman" w:eastAsia="Times New Roman" w:hAnsi="Times New Roman" w:cs="Times New Roman"/>
                <w:b/>
                <w:bCs/>
                <w:i/>
                <w:iCs/>
                <w:sz w:val="24"/>
                <w:szCs w:val="24"/>
              </w:rPr>
              <w:t>“ghi nhận vào danh sách người sử dụng”</w:t>
            </w:r>
            <w:r>
              <w:rPr>
                <w:rFonts w:ascii="Times New Roman" w:eastAsia="Times New Roman" w:hAnsi="Times New Roman" w:cs="Times New Roman"/>
                <w:sz w:val="24"/>
                <w:szCs w:val="24"/>
              </w:rPr>
              <w:t xml:space="preserve"> có thể dẫn đến cách hiểu khác nhau khi xác định chủ thể có quyền sử dụng và hàng hóa giả mạo CDĐL. Đề nghị Luật quy định rõ điều kiện, phương thức và thời điểm tổ chức, cá nhân được thực hiện quyền sử dụng CDĐL; đồng thời rà soát Điều 213 để phân biệt trường hợp không có quyền/không đáp ứng điều kiện sử dụng CDĐL với trường hợp chỉ chưa hoàn thành thủ tục quản lý, ghi nhận, bảo đảm thống nhất với Điều 129 và thuận lợi cho kiểm tra, xử lý vi phạm.</w:t>
            </w:r>
          </w:p>
        </w:tc>
        <w:tc>
          <w:tcPr>
            <w:tcW w:w="4253" w:type="dxa"/>
            <w:shd w:val="clear" w:color="auto" w:fill="FFFFFF"/>
          </w:tcPr>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Cơ quan chủ trì soạn thảo xin giải trình như sau:</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Việc “trao quyền sử dụng chỉ dẫn địa lý” được quy định tại khoản 4 Điều 121 của Luật SHTT và không đặt ra các quy định về thủ tục trao quyền sử dụng. Điều này được hiểu là các tổ chức, cá nhân sản xuất hàng hóa đáp ứng các điều kiện chỉ dẫn địa lý thì được sử dụng chỉ dẫn địa lý theo quy định của luật.</w:t>
            </w:r>
          </w:p>
          <w:p>
            <w:pPr>
              <w:shd w:val="clear" w:color="auto" w:fill="FFFFFF"/>
              <w:spacing w:before="40" w:after="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Điều 38 Nghị định số 65/2023/NĐ-CP được sửa đổi bởi Nghị định số 100/2026/NĐ-CP quy định tổ chức, cá nhân phải thông báo để được tổ chức quản lý ghi nhận vào danh sách trước khi sử dụng CDĐL để phục vụ công tác quản lý của tổ chức quản lý chỉ dẫn địa lý mà không phải là điều kiện để được sử dụng (Nghị định số 65/2023/NĐ-CP cũng không có quy định về cấp quyền sử dụng).</w:t>
            </w:r>
          </w:p>
        </w:tc>
      </w:tr>
    </w:tbl>
    <w:p>
      <w:pPr>
        <w:shd w:val="clear" w:color="auto" w:fill="FFFFFF"/>
        <w:rPr>
          <w:rFonts w:ascii="Times New Roman" w:eastAsia="Times New Roman" w:hAnsi="Times New Roman" w:cs="Times New Roman"/>
        </w:rPr>
      </w:pPr>
    </w:p>
    <w:sectPr>
      <w:headerReference w:type="default" r:id="rId9"/>
      <w:pgSz w:w="16838" w:h="11906" w:orient="landscape"/>
      <w:pgMar w:top="1134" w:right="851" w:bottom="1418"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embedRegular r:id="rId1" w:fontKey="{A11DF505-8145-44DD-95DD-748E881C5AA9}"/>
    <w:embedItalic r:id="rId2" w:fontKey="{FC82CC8D-8B1D-4138-BF85-0962471387E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F8F023FA-1408-4926-A587-EF189D4A66A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08AB3AE4-BD7B-4030-96D8-42B2AFAC8D2E}"/>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Bdr>
        <w:top w:val="nil"/>
        <w:left w:val="nil"/>
        <w:bottom w:val="nil"/>
        <w:right w:val="nil"/>
        <w:between w:val="nil"/>
      </w:pBdr>
      <w:tabs>
        <w:tab w:val="center" w:pos="4513"/>
        <w:tab w:val="right" w:pos="9026"/>
      </w:tabs>
      <w:spacing w:after="0" w:line="24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fldChar w:fldCharType="begin"/>
    </w:r>
    <w:r>
      <w:rPr>
        <w:rFonts w:ascii="Times New Roman" w:eastAsia="Times New Roman" w:hAnsi="Times New Roman" w:cs="Times New Roman"/>
        <w:color w:val="000000"/>
        <w:sz w:val="26"/>
        <w:szCs w:val="26"/>
      </w:rPr>
      <w:instrText>PAGE</w:instrText>
    </w:r>
    <w:r>
      <w:rPr>
        <w:rFonts w:ascii="Times New Roman" w:eastAsia="Times New Roman" w:hAnsi="Times New Roman" w:cs="Times New Roman"/>
        <w:color w:val="000000"/>
        <w:sz w:val="26"/>
        <w:szCs w:val="26"/>
      </w:rPr>
      <w:fldChar w:fldCharType="separate"/>
    </w:r>
    <w:r>
      <w:rPr>
        <w:rFonts w:ascii="Times New Roman" w:eastAsia="Times New Roman" w:hAnsi="Times New Roman" w:cs="Times New Roman"/>
        <w:noProof/>
        <w:color w:val="000000"/>
        <w:sz w:val="26"/>
        <w:szCs w:val="26"/>
      </w:rPr>
      <w:t>128</w:t>
    </w:r>
    <w:r>
      <w:rPr>
        <w:rFonts w:ascii="Times New Roman" w:eastAsia="Times New Roman" w:hAnsi="Times New Roman" w:cs="Times New Roman"/>
        <w:color w:val="000000"/>
        <w:sz w:val="26"/>
        <w:szCs w:val="26"/>
      </w:rPr>
      <w:fldChar w:fldCharType="end"/>
    </w:r>
  </w:p>
  <w:p>
    <w:pPr>
      <w:pBdr>
        <w:top w:val="nil"/>
        <w:left w:val="nil"/>
        <w:bottom w:val="nil"/>
        <w:right w:val="nil"/>
        <w:between w:val="nil"/>
      </w:pBdr>
      <w:tabs>
        <w:tab w:val="center" w:pos="4513"/>
        <w:tab w:val="right" w:pos="9026"/>
      </w:tabs>
      <w:spacing w:after="0" w:line="240" w:lineRule="auto"/>
      <w:jc w:val="center"/>
      <w:rPr>
        <w:rFonts w:ascii="Times New Roman" w:eastAsia="Times New Roman" w:hAnsi="Times New Roman" w:cs="Times New Roman"/>
        <w:color w:val="000000"/>
        <w:sz w:val="26"/>
        <w:szCs w:val="26"/>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embedTrueTypeFonts/>
  <w:doNotTrackFormatting/>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F51723-8407-4B3E-A89A-0253496AD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en-US" w:bidi="ar-SA"/>
      </w:rPr>
    </w:rPrDefault>
    <w:pPrDefault>
      <w:pPr>
        <w:spacing w:after="160" w:line="25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pPr>
      <w:keepNext/>
      <w:keepLines/>
      <w:spacing w:before="360" w:after="80" w:line="276" w:lineRule="auto"/>
      <w:outlineLvl w:val="0"/>
    </w:pPr>
    <w:rPr>
      <w:color w:val="2F5496"/>
      <w:sz w:val="40"/>
      <w:szCs w:val="40"/>
    </w:rPr>
  </w:style>
  <w:style w:type="paragraph" w:styleId="Heading2">
    <w:name w:val="heading 2"/>
    <w:basedOn w:val="Normal"/>
    <w:next w:val="Normal"/>
    <w:link w:val="Heading2Char"/>
    <w:pPr>
      <w:keepNext/>
      <w:keepLines/>
      <w:spacing w:before="160" w:after="80" w:line="276" w:lineRule="auto"/>
      <w:outlineLvl w:val="1"/>
    </w:pPr>
    <w:rPr>
      <w:color w:val="2F5496"/>
      <w:sz w:val="32"/>
      <w:szCs w:val="32"/>
    </w:rPr>
  </w:style>
  <w:style w:type="paragraph" w:styleId="Heading3">
    <w:name w:val="heading 3"/>
    <w:basedOn w:val="Normal"/>
    <w:next w:val="Normal"/>
    <w:link w:val="Heading3Char"/>
    <w:pPr>
      <w:keepNext/>
      <w:keepLines/>
      <w:spacing w:before="160" w:after="80" w:line="276" w:lineRule="auto"/>
      <w:outlineLvl w:val="2"/>
    </w:pPr>
    <w:rPr>
      <w:color w:val="2F5496"/>
      <w:sz w:val="28"/>
      <w:szCs w:val="28"/>
    </w:rPr>
  </w:style>
  <w:style w:type="paragraph" w:styleId="Heading4">
    <w:name w:val="heading 4"/>
    <w:basedOn w:val="Normal"/>
    <w:next w:val="Normal"/>
    <w:link w:val="Heading4Char"/>
    <w:pPr>
      <w:keepNext/>
      <w:keepLines/>
      <w:spacing w:before="80" w:after="40" w:line="276" w:lineRule="auto"/>
      <w:outlineLvl w:val="3"/>
    </w:pPr>
    <w:rPr>
      <w:i/>
      <w:iCs/>
      <w:color w:val="2F5496"/>
      <w:sz w:val="24"/>
      <w:szCs w:val="24"/>
    </w:rPr>
  </w:style>
  <w:style w:type="paragraph" w:styleId="Heading5">
    <w:name w:val="heading 5"/>
    <w:basedOn w:val="Normal"/>
    <w:next w:val="Normal"/>
    <w:link w:val="Heading5Char"/>
    <w:pPr>
      <w:keepNext/>
      <w:keepLines/>
      <w:spacing w:before="80" w:after="40" w:line="276" w:lineRule="auto"/>
      <w:outlineLvl w:val="4"/>
    </w:pPr>
    <w:rPr>
      <w:color w:val="2F5496"/>
      <w:sz w:val="24"/>
      <w:szCs w:val="24"/>
    </w:rPr>
  </w:style>
  <w:style w:type="paragraph" w:styleId="Heading6">
    <w:name w:val="heading 6"/>
    <w:basedOn w:val="Normal"/>
    <w:next w:val="Normal"/>
    <w:link w:val="Heading6Char"/>
    <w:pPr>
      <w:keepNext/>
      <w:keepLines/>
      <w:spacing w:before="40" w:after="0" w:line="276" w:lineRule="auto"/>
      <w:outlineLvl w:val="5"/>
    </w:pPr>
    <w:rPr>
      <w:i/>
      <w:iCs/>
      <w:color w:val="595959"/>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Pr>
      <w:rFonts w:ascii="Calibri" w:eastAsia="Times New Roman" w:hAnsi="Calibri" w:cs="Calibri"/>
      <w:color w:val="2F5496"/>
      <w:kern w:val="0"/>
      <w:sz w:val="40"/>
      <w:szCs w:val="40"/>
      <w:lang w:val="en" w:eastAsia="vi-VN"/>
    </w:rPr>
  </w:style>
  <w:style w:type="character" w:customStyle="1" w:styleId="Heading2Char">
    <w:name w:val="Heading 2 Char"/>
    <w:basedOn w:val="DefaultParagraphFont"/>
    <w:link w:val="Heading2"/>
    <w:uiPriority w:val="9"/>
    <w:semiHidden/>
    <w:rPr>
      <w:rFonts w:ascii="Calibri" w:eastAsia="Times New Roman" w:hAnsi="Calibri" w:cs="Calibri"/>
      <w:color w:val="2F5496"/>
      <w:kern w:val="0"/>
      <w:sz w:val="32"/>
      <w:szCs w:val="32"/>
      <w:lang w:val="en" w:eastAsia="vi-VN"/>
    </w:rPr>
  </w:style>
  <w:style w:type="character" w:customStyle="1" w:styleId="Heading3Char">
    <w:name w:val="Heading 3 Char"/>
    <w:basedOn w:val="DefaultParagraphFont"/>
    <w:link w:val="Heading3"/>
    <w:uiPriority w:val="9"/>
    <w:semiHidden/>
    <w:rPr>
      <w:rFonts w:ascii="Calibri" w:eastAsia="Times New Roman" w:hAnsi="Calibri" w:cs="Calibri"/>
      <w:color w:val="2F5496"/>
      <w:kern w:val="0"/>
      <w:szCs w:val="28"/>
      <w:lang w:val="en" w:eastAsia="vi-VN"/>
    </w:rPr>
  </w:style>
  <w:style w:type="character" w:customStyle="1" w:styleId="Heading4Char">
    <w:name w:val="Heading 4 Char"/>
    <w:basedOn w:val="DefaultParagraphFont"/>
    <w:link w:val="Heading4"/>
    <w:uiPriority w:val="9"/>
    <w:semiHidden/>
    <w:rPr>
      <w:rFonts w:ascii="Calibri" w:eastAsia="Times New Roman" w:hAnsi="Calibri" w:cs="Calibri"/>
      <w:i/>
      <w:iCs/>
      <w:color w:val="2F5496"/>
      <w:kern w:val="0"/>
      <w:sz w:val="24"/>
      <w:szCs w:val="24"/>
      <w:lang w:val="en" w:eastAsia="vi-VN"/>
    </w:rPr>
  </w:style>
  <w:style w:type="character" w:customStyle="1" w:styleId="Heading5Char">
    <w:name w:val="Heading 5 Char"/>
    <w:basedOn w:val="DefaultParagraphFont"/>
    <w:link w:val="Heading5"/>
    <w:uiPriority w:val="9"/>
    <w:semiHidden/>
    <w:rPr>
      <w:rFonts w:ascii="Calibri" w:eastAsia="Times New Roman" w:hAnsi="Calibri" w:cs="Calibri"/>
      <w:color w:val="2F5496"/>
      <w:kern w:val="0"/>
      <w:sz w:val="24"/>
      <w:szCs w:val="24"/>
      <w:lang w:val="en" w:eastAsia="vi-VN"/>
    </w:rPr>
  </w:style>
  <w:style w:type="character" w:customStyle="1" w:styleId="Heading6Char">
    <w:name w:val="Heading 6 Char"/>
    <w:basedOn w:val="DefaultParagraphFont"/>
    <w:link w:val="Heading6"/>
    <w:uiPriority w:val="9"/>
    <w:semiHidden/>
    <w:rPr>
      <w:rFonts w:ascii="Calibri" w:eastAsia="Times New Roman" w:hAnsi="Calibri" w:cs="Calibri"/>
      <w:i/>
      <w:iCs/>
      <w:color w:val="595959"/>
      <w:kern w:val="0"/>
      <w:sz w:val="24"/>
      <w:szCs w:val="24"/>
      <w:lang w:val="en" w:eastAsia="vi-VN"/>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TitleChar">
    <w:name w:val="Title Char"/>
    <w:basedOn w:val="DefaultParagraphFont"/>
    <w:link w:val="Title"/>
    <w:uiPriority w:val="10"/>
    <w:rPr>
      <w:rFonts w:ascii="Calibri" w:eastAsia="Calibri" w:hAnsi="Calibri" w:cs="Calibri"/>
      <w:kern w:val="0"/>
      <w:sz w:val="56"/>
      <w:szCs w:val="56"/>
      <w:lang w:val="en" w:eastAsia="vi-VN"/>
    </w:rPr>
  </w:style>
  <w:style w:type="character" w:customStyle="1" w:styleId="SubtitleChar">
    <w:name w:val="Subtitle Char"/>
    <w:basedOn w:val="DefaultParagraphFont"/>
    <w:link w:val="Subtitle"/>
    <w:uiPriority w:val="11"/>
    <w:rPr>
      <w:rFonts w:ascii="Calibri" w:eastAsia="Calibri" w:hAnsi="Calibri" w:cs="Calibri"/>
      <w:color w:val="595959"/>
      <w:kern w:val="0"/>
      <w:szCs w:val="28"/>
      <w:lang w:val="en" w:eastAsia="vi-VN"/>
    </w:rPr>
  </w:style>
  <w:style w:type="table" w:customStyle="1" w:styleId="TableNormal2">
    <w:name w:val="TableNormal"/>
    <w:pPr>
      <w:spacing w:line="276" w:lineRule="auto"/>
    </w:pPr>
    <w:rPr>
      <w:sz w:val="24"/>
      <w:szCs w:val="24"/>
      <w:lang w:eastAsia="vi-VN"/>
    </w:rPr>
    <w:tblPr>
      <w:tblCellMar>
        <w:top w:w="100" w:type="dxa"/>
        <w:left w:w="100" w:type="dxa"/>
        <w:bottom w:w="100" w:type="dxa"/>
        <w:right w:w="100" w:type="dxa"/>
      </w:tblCellMar>
    </w:tblPr>
  </w:style>
  <w:style w:type="paragraph" w:styleId="ListParagraph">
    <w:name w:val="List Paragraph"/>
    <w:basedOn w:val="Normal"/>
    <w:uiPriority w:val="34"/>
    <w:qFormat/>
    <w:pPr>
      <w:spacing w:line="276" w:lineRule="auto"/>
      <w:ind w:left="720"/>
      <w:contextualSpacing/>
    </w:pPr>
    <w:rPr>
      <w:sz w:val="24"/>
      <w:szCs w:val="24"/>
      <w:lang w:eastAsia="vi-VN"/>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rPr>
      <w:rFonts w:asciiTheme="minorHAnsi" w:hAnsiTheme="minorHAnsi"/>
      <w:sz w:val="22"/>
      <w:lang w:val="en-US"/>
    </w:rPr>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rPr>
      <w:rFonts w:asciiTheme="minorHAnsi" w:hAnsiTheme="minorHAnsi"/>
      <w:sz w:val="22"/>
      <w:lang w:val="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Revision">
    <w:name w:val="Revision"/>
    <w:hidden/>
    <w:uiPriority w:val="99"/>
    <w:semiHidden/>
    <w:pPr>
      <w:spacing w:after="0" w:line="240" w:lineRule="auto"/>
    </w:p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paragraph" w:styleId="Subtitle">
    <w:name w:val="Subtitle"/>
    <w:basedOn w:val="Normal"/>
    <w:next w:val="Normal"/>
    <w:link w:val="SubtitleChar"/>
    <w:pPr>
      <w:spacing w:line="276" w:lineRule="auto"/>
    </w:pPr>
    <w:rPr>
      <w:color w:val="595959"/>
      <w:sz w:val="28"/>
      <w:szCs w:val="28"/>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dCLRWfUi43chxKl0CmNnhdLglQ==">CgMxLjAyDWguNGpuYTB1anBnZHEyDmgueDR1c3VxYWI1b3IwOAByITFUNHpueEZHTVk3c3Rub29oMXltMG1BNXhSTmZCLWJycg==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14540EC-E871-466E-885F-EF391F864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156</Pages>
  <Words>41243</Words>
  <Characters>235089</Characters>
  <Application>Microsoft Office Word</Application>
  <DocSecurity>0</DocSecurity>
  <Lines>1959</Lines>
  <Paragraphs>551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275781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Thuc Hien</dc:creator>
  <cp:lastModifiedBy>V Duc</cp:lastModifiedBy>
  <cp:revision>2</cp:revision>
  <dcterms:created xsi:type="dcterms:W3CDTF">2026-08-19T08:35:00Z</dcterms:created>
  <dcterms:modified xsi:type="dcterms:W3CDTF">2026-08-19T08:35:00Z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3dd12b91-2545-49f9-bd29-a7c0d285d34c</vt:lpwstr>
  </property>
</Properties>
</file>